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4BC92" w14:textId="063833B1" w:rsidR="00AB39C6" w:rsidRPr="00940D9C" w:rsidRDefault="004114D2" w:rsidP="00F4709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40D9C">
        <w:rPr>
          <w:rFonts w:ascii="Arial" w:hAnsi="Arial" w:cs="Arial"/>
          <w:b/>
          <w:bCs/>
          <w:sz w:val="24"/>
          <w:szCs w:val="24"/>
        </w:rPr>
        <w:t xml:space="preserve">Frequently Asked </w:t>
      </w:r>
      <w:r w:rsidR="001340F3" w:rsidRPr="00940D9C">
        <w:rPr>
          <w:rFonts w:ascii="Arial" w:hAnsi="Arial" w:cs="Arial"/>
          <w:b/>
          <w:bCs/>
          <w:sz w:val="24"/>
          <w:szCs w:val="24"/>
        </w:rPr>
        <w:t xml:space="preserve">Questions and Answers </w:t>
      </w:r>
      <w:r w:rsidR="00126F42" w:rsidRPr="00940D9C">
        <w:rPr>
          <w:rFonts w:ascii="Arial" w:hAnsi="Arial" w:cs="Arial"/>
          <w:b/>
          <w:bCs/>
          <w:sz w:val="24"/>
          <w:szCs w:val="24"/>
        </w:rPr>
        <w:t xml:space="preserve">about </w:t>
      </w:r>
      <w:r w:rsidR="001340F3" w:rsidRPr="00940D9C">
        <w:rPr>
          <w:rFonts w:ascii="Arial" w:hAnsi="Arial" w:cs="Arial"/>
          <w:b/>
          <w:bCs/>
          <w:sz w:val="24"/>
          <w:szCs w:val="24"/>
        </w:rPr>
        <w:t>the Single Window Inspection Workflow</w:t>
      </w:r>
    </w:p>
    <w:p w14:paraId="3403470C" w14:textId="77777777" w:rsidR="001340F3" w:rsidRPr="00940D9C" w:rsidRDefault="001340F3" w:rsidP="00F4709A">
      <w:pPr>
        <w:jc w:val="both"/>
        <w:rPr>
          <w:rFonts w:ascii="Arial" w:hAnsi="Arial" w:cs="Arial"/>
          <w:sz w:val="24"/>
          <w:szCs w:val="24"/>
        </w:rPr>
      </w:pPr>
    </w:p>
    <w:p w14:paraId="0E37D136" w14:textId="77777777" w:rsidR="00A55C39" w:rsidRPr="00940D9C" w:rsidRDefault="00A55C39" w:rsidP="00A55C39">
      <w:pPr>
        <w:jc w:val="both"/>
        <w:rPr>
          <w:rFonts w:ascii="Arial" w:hAnsi="Arial" w:cs="Arial"/>
          <w:sz w:val="24"/>
          <w:szCs w:val="24"/>
        </w:rPr>
      </w:pPr>
      <w:r w:rsidRPr="00940D9C">
        <w:rPr>
          <w:rFonts w:ascii="Arial" w:hAnsi="Arial" w:cs="Arial"/>
          <w:b/>
          <w:bCs/>
          <w:sz w:val="24"/>
          <w:szCs w:val="24"/>
        </w:rPr>
        <w:t>Q.</w:t>
      </w:r>
      <w:r w:rsidRPr="00940D9C">
        <w:rPr>
          <w:rFonts w:ascii="Arial" w:hAnsi="Arial" w:cs="Arial"/>
          <w:sz w:val="24"/>
          <w:szCs w:val="24"/>
        </w:rPr>
        <w:t xml:space="preserve"> </w:t>
      </w:r>
      <w:r w:rsidRPr="00940D9C">
        <w:rPr>
          <w:rFonts w:ascii="Arial" w:hAnsi="Arial" w:cs="Arial"/>
          <w:b/>
          <w:bCs/>
          <w:sz w:val="24"/>
          <w:szCs w:val="24"/>
        </w:rPr>
        <w:t>What is a Single Window?</w:t>
      </w:r>
    </w:p>
    <w:p w14:paraId="0E61AAFC" w14:textId="63985C4F" w:rsidR="00A55C39" w:rsidRPr="00940D9C" w:rsidRDefault="00A55C39" w:rsidP="00A55C39">
      <w:pPr>
        <w:jc w:val="both"/>
        <w:rPr>
          <w:rFonts w:ascii="Arial" w:hAnsi="Arial" w:cs="Arial"/>
          <w:sz w:val="24"/>
          <w:szCs w:val="24"/>
        </w:rPr>
      </w:pPr>
      <w:r w:rsidRPr="00940D9C">
        <w:rPr>
          <w:rFonts w:ascii="Arial" w:hAnsi="Arial" w:cs="Arial"/>
          <w:sz w:val="24"/>
          <w:szCs w:val="24"/>
        </w:rPr>
        <w:t xml:space="preserve">A. Single Window is a platform </w:t>
      </w:r>
      <w:r w:rsidR="00126F42" w:rsidRPr="00940D9C">
        <w:rPr>
          <w:rFonts w:ascii="Arial" w:hAnsi="Arial" w:cs="Arial"/>
          <w:sz w:val="24"/>
          <w:szCs w:val="24"/>
        </w:rPr>
        <w:t xml:space="preserve">that enables </w:t>
      </w:r>
      <w:r w:rsidRPr="00940D9C">
        <w:rPr>
          <w:rFonts w:ascii="Arial" w:hAnsi="Arial" w:cs="Arial"/>
          <w:sz w:val="24"/>
          <w:szCs w:val="24"/>
        </w:rPr>
        <w:t>a trader to engage with all applicable government agencies</w:t>
      </w:r>
      <w:r w:rsidR="00126F42" w:rsidRPr="00940D9C">
        <w:rPr>
          <w:rFonts w:ascii="Arial" w:hAnsi="Arial" w:cs="Arial"/>
          <w:sz w:val="24"/>
          <w:szCs w:val="24"/>
        </w:rPr>
        <w:t xml:space="preserve"> or </w:t>
      </w:r>
      <w:r w:rsidRPr="00940D9C">
        <w:rPr>
          <w:rFonts w:ascii="Arial" w:hAnsi="Arial" w:cs="Arial"/>
          <w:sz w:val="24"/>
          <w:szCs w:val="24"/>
        </w:rPr>
        <w:t xml:space="preserve">departments </w:t>
      </w:r>
      <w:r w:rsidR="00126F42" w:rsidRPr="00940D9C">
        <w:rPr>
          <w:rFonts w:ascii="Arial" w:hAnsi="Arial" w:cs="Arial"/>
          <w:sz w:val="24"/>
          <w:szCs w:val="24"/>
        </w:rPr>
        <w:t xml:space="preserve">at </w:t>
      </w:r>
      <w:r w:rsidRPr="00940D9C">
        <w:rPr>
          <w:rFonts w:ascii="Arial" w:hAnsi="Arial" w:cs="Arial"/>
          <w:sz w:val="24"/>
          <w:szCs w:val="24"/>
        </w:rPr>
        <w:t xml:space="preserve">once and with </w:t>
      </w:r>
      <w:r w:rsidR="00126F42" w:rsidRPr="00940D9C">
        <w:rPr>
          <w:rFonts w:ascii="Arial" w:hAnsi="Arial" w:cs="Arial"/>
          <w:sz w:val="24"/>
          <w:szCs w:val="24"/>
        </w:rPr>
        <w:t xml:space="preserve">fewer </w:t>
      </w:r>
      <w:r w:rsidRPr="00940D9C">
        <w:rPr>
          <w:rFonts w:ascii="Arial" w:hAnsi="Arial" w:cs="Arial"/>
          <w:sz w:val="24"/>
          <w:szCs w:val="24"/>
        </w:rPr>
        <w:t xml:space="preserve">or without duplications. </w:t>
      </w:r>
    </w:p>
    <w:p w14:paraId="576FFE8B" w14:textId="556854FC" w:rsidR="001340F3" w:rsidRPr="00940D9C" w:rsidRDefault="001340F3" w:rsidP="00F4709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40D9C">
        <w:rPr>
          <w:rFonts w:ascii="Arial" w:hAnsi="Arial" w:cs="Arial"/>
          <w:b/>
          <w:bCs/>
          <w:sz w:val="24"/>
          <w:szCs w:val="24"/>
        </w:rPr>
        <w:t>Q. What is changing?</w:t>
      </w:r>
    </w:p>
    <w:p w14:paraId="40F4220D" w14:textId="671A3304" w:rsidR="001340F3" w:rsidRPr="00940D9C" w:rsidRDefault="001340F3" w:rsidP="00F4709A">
      <w:pPr>
        <w:jc w:val="both"/>
        <w:rPr>
          <w:rFonts w:ascii="Arial" w:hAnsi="Arial" w:cs="Arial"/>
          <w:sz w:val="24"/>
          <w:szCs w:val="24"/>
        </w:rPr>
      </w:pPr>
      <w:r w:rsidRPr="00940D9C">
        <w:rPr>
          <w:rFonts w:ascii="Arial" w:hAnsi="Arial" w:cs="Arial"/>
          <w:sz w:val="24"/>
          <w:szCs w:val="24"/>
        </w:rPr>
        <w:t xml:space="preserve">A. </w:t>
      </w:r>
      <w:r w:rsidR="00126F42" w:rsidRPr="00940D9C">
        <w:rPr>
          <w:rFonts w:ascii="Arial" w:hAnsi="Arial" w:cs="Arial"/>
          <w:sz w:val="24"/>
          <w:szCs w:val="24"/>
        </w:rPr>
        <w:t>The i</w:t>
      </w:r>
      <w:r w:rsidRPr="00940D9C">
        <w:rPr>
          <w:rFonts w:ascii="Arial" w:hAnsi="Arial" w:cs="Arial"/>
          <w:sz w:val="24"/>
          <w:szCs w:val="24"/>
        </w:rPr>
        <w:t xml:space="preserve">ntroduction of the </w:t>
      </w:r>
      <w:r w:rsidR="0043464F" w:rsidRPr="00940D9C">
        <w:rPr>
          <w:rFonts w:ascii="Arial" w:hAnsi="Arial" w:cs="Arial"/>
          <w:sz w:val="24"/>
          <w:szCs w:val="24"/>
        </w:rPr>
        <w:t xml:space="preserve">Single Window </w:t>
      </w:r>
      <w:r w:rsidRPr="00940D9C">
        <w:rPr>
          <w:rFonts w:ascii="Arial" w:hAnsi="Arial" w:cs="Arial"/>
          <w:sz w:val="24"/>
          <w:szCs w:val="24"/>
        </w:rPr>
        <w:t>electronic inspection process</w:t>
      </w:r>
      <w:r w:rsidR="00126F42" w:rsidRPr="00940D9C">
        <w:rPr>
          <w:rFonts w:ascii="Arial" w:hAnsi="Arial" w:cs="Arial"/>
          <w:sz w:val="24"/>
          <w:szCs w:val="24"/>
        </w:rPr>
        <w:t>,</w:t>
      </w:r>
      <w:r w:rsidR="00A55C39" w:rsidRPr="00940D9C">
        <w:rPr>
          <w:rFonts w:ascii="Arial" w:hAnsi="Arial" w:cs="Arial"/>
          <w:sz w:val="24"/>
          <w:szCs w:val="24"/>
        </w:rPr>
        <w:t xml:space="preserve"> which includes the sharing of supporting documents electronically with onboarded </w:t>
      </w:r>
      <w:r w:rsidR="00126F42" w:rsidRPr="00940D9C">
        <w:rPr>
          <w:rFonts w:ascii="Arial" w:hAnsi="Arial" w:cs="Arial"/>
          <w:sz w:val="24"/>
          <w:szCs w:val="24"/>
        </w:rPr>
        <w:t>Other Government Agencies (</w:t>
      </w:r>
      <w:r w:rsidR="00A55C39" w:rsidRPr="00940D9C">
        <w:rPr>
          <w:rFonts w:ascii="Arial" w:hAnsi="Arial" w:cs="Arial"/>
          <w:sz w:val="24"/>
          <w:szCs w:val="24"/>
        </w:rPr>
        <w:t>OGAs</w:t>
      </w:r>
      <w:r w:rsidR="00126F42" w:rsidRPr="00940D9C">
        <w:rPr>
          <w:rFonts w:ascii="Arial" w:hAnsi="Arial" w:cs="Arial"/>
          <w:sz w:val="24"/>
          <w:szCs w:val="24"/>
        </w:rPr>
        <w:t>)</w:t>
      </w:r>
      <w:r w:rsidRPr="00940D9C">
        <w:rPr>
          <w:rFonts w:ascii="Arial" w:hAnsi="Arial" w:cs="Arial"/>
          <w:sz w:val="24"/>
          <w:szCs w:val="24"/>
        </w:rPr>
        <w:t>, ‘in place’ of the existing ‘Detain for OGA or status 4’ manual process</w:t>
      </w:r>
      <w:r w:rsidR="00EE5285" w:rsidRPr="00940D9C">
        <w:rPr>
          <w:rFonts w:ascii="Arial" w:hAnsi="Arial" w:cs="Arial"/>
          <w:sz w:val="24"/>
          <w:szCs w:val="24"/>
        </w:rPr>
        <w:t xml:space="preserve">. </w:t>
      </w:r>
    </w:p>
    <w:p w14:paraId="353D6CDA" w14:textId="45040B3E" w:rsidR="00A55C39" w:rsidRPr="00940D9C" w:rsidRDefault="00A55C39" w:rsidP="00F4709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40D9C">
        <w:rPr>
          <w:rFonts w:ascii="Arial" w:hAnsi="Arial" w:cs="Arial"/>
          <w:b/>
          <w:bCs/>
          <w:sz w:val="24"/>
          <w:szCs w:val="24"/>
        </w:rPr>
        <w:t xml:space="preserve">Q. Will all supporting documents be shared with the OGA? </w:t>
      </w:r>
    </w:p>
    <w:p w14:paraId="1F2DBCEA" w14:textId="47E0EE6D" w:rsidR="00A55C39" w:rsidRPr="00940D9C" w:rsidRDefault="00A55C39" w:rsidP="00F4709A">
      <w:pPr>
        <w:jc w:val="both"/>
        <w:rPr>
          <w:rFonts w:ascii="Arial" w:hAnsi="Arial" w:cs="Arial"/>
          <w:sz w:val="24"/>
          <w:szCs w:val="24"/>
        </w:rPr>
      </w:pPr>
      <w:r w:rsidRPr="00940D9C">
        <w:rPr>
          <w:rFonts w:ascii="Arial" w:hAnsi="Arial" w:cs="Arial"/>
          <w:sz w:val="24"/>
          <w:szCs w:val="24"/>
        </w:rPr>
        <w:t xml:space="preserve">A. </w:t>
      </w:r>
      <w:r w:rsidR="00FD1DF5" w:rsidRPr="00940D9C">
        <w:rPr>
          <w:rFonts w:ascii="Arial" w:hAnsi="Arial" w:cs="Arial"/>
          <w:sz w:val="24"/>
          <w:szCs w:val="24"/>
        </w:rPr>
        <w:t>Traders must classify/label documents when uploading them on Easyscan so that only the OGA required documents can be shared. In cases where the documents are not classified or ‘other’ is selected</w:t>
      </w:r>
      <w:r w:rsidR="00126F42" w:rsidRPr="00940D9C">
        <w:rPr>
          <w:rFonts w:ascii="Arial" w:hAnsi="Arial" w:cs="Arial"/>
          <w:sz w:val="24"/>
          <w:szCs w:val="24"/>
        </w:rPr>
        <w:t>,</w:t>
      </w:r>
      <w:r w:rsidR="00FD1DF5" w:rsidRPr="00940D9C">
        <w:rPr>
          <w:rFonts w:ascii="Arial" w:hAnsi="Arial" w:cs="Arial"/>
          <w:sz w:val="24"/>
          <w:szCs w:val="24"/>
        </w:rPr>
        <w:t xml:space="preserve"> all uploaded documents </w:t>
      </w:r>
      <w:r w:rsidR="00126F42" w:rsidRPr="00940D9C">
        <w:rPr>
          <w:rFonts w:ascii="Arial" w:hAnsi="Arial" w:cs="Arial"/>
          <w:sz w:val="24"/>
          <w:szCs w:val="24"/>
        </w:rPr>
        <w:t xml:space="preserve">will </w:t>
      </w:r>
      <w:r w:rsidR="00FD1DF5" w:rsidRPr="00940D9C">
        <w:rPr>
          <w:rFonts w:ascii="Arial" w:hAnsi="Arial" w:cs="Arial"/>
          <w:sz w:val="24"/>
          <w:szCs w:val="24"/>
        </w:rPr>
        <w:t xml:space="preserve">be shared with the respective OGA. </w:t>
      </w:r>
    </w:p>
    <w:p w14:paraId="6AA32CCB" w14:textId="1B279734" w:rsidR="001340F3" w:rsidRPr="00940D9C" w:rsidRDefault="001340F3" w:rsidP="00F4709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40D9C">
        <w:rPr>
          <w:rFonts w:ascii="Arial" w:hAnsi="Arial" w:cs="Arial"/>
          <w:b/>
          <w:bCs/>
          <w:sz w:val="24"/>
          <w:szCs w:val="24"/>
        </w:rPr>
        <w:t>Q.</w:t>
      </w:r>
      <w:r w:rsidR="00145895" w:rsidRPr="00940D9C">
        <w:rPr>
          <w:rFonts w:ascii="Arial" w:hAnsi="Arial" w:cs="Arial"/>
          <w:b/>
          <w:bCs/>
          <w:sz w:val="24"/>
          <w:szCs w:val="24"/>
        </w:rPr>
        <w:t xml:space="preserve"> Is the manual inspection process </w:t>
      </w:r>
      <w:r w:rsidR="00126F42" w:rsidRPr="00940D9C">
        <w:rPr>
          <w:rFonts w:ascii="Arial" w:hAnsi="Arial" w:cs="Arial"/>
          <w:b/>
          <w:bCs/>
          <w:sz w:val="24"/>
          <w:szCs w:val="24"/>
        </w:rPr>
        <w:t xml:space="preserve">completely </w:t>
      </w:r>
      <w:r w:rsidR="00145895" w:rsidRPr="00940D9C">
        <w:rPr>
          <w:rFonts w:ascii="Arial" w:hAnsi="Arial" w:cs="Arial"/>
          <w:b/>
          <w:bCs/>
          <w:sz w:val="24"/>
          <w:szCs w:val="24"/>
        </w:rPr>
        <w:t>done away with?</w:t>
      </w:r>
    </w:p>
    <w:p w14:paraId="21BF7889" w14:textId="1A864002" w:rsidR="00145895" w:rsidRPr="00940D9C" w:rsidRDefault="00145895" w:rsidP="00F4709A">
      <w:pPr>
        <w:jc w:val="both"/>
        <w:rPr>
          <w:rFonts w:ascii="Arial" w:hAnsi="Arial" w:cs="Arial"/>
          <w:sz w:val="24"/>
          <w:szCs w:val="24"/>
        </w:rPr>
      </w:pPr>
      <w:r w:rsidRPr="00940D9C">
        <w:rPr>
          <w:rFonts w:ascii="Arial" w:hAnsi="Arial" w:cs="Arial"/>
          <w:sz w:val="24"/>
          <w:szCs w:val="24"/>
        </w:rPr>
        <w:t xml:space="preserve">A. No, it is wholly dependent on </w:t>
      </w:r>
      <w:r w:rsidR="00940D9C" w:rsidRPr="00940D9C">
        <w:rPr>
          <w:rFonts w:ascii="Arial" w:hAnsi="Arial" w:cs="Arial"/>
          <w:sz w:val="24"/>
          <w:szCs w:val="24"/>
        </w:rPr>
        <w:t>whether</w:t>
      </w:r>
      <w:r w:rsidRPr="00940D9C">
        <w:rPr>
          <w:rFonts w:ascii="Arial" w:hAnsi="Arial" w:cs="Arial"/>
          <w:sz w:val="24"/>
          <w:szCs w:val="24"/>
        </w:rPr>
        <w:t xml:space="preserve"> a trader has </w:t>
      </w:r>
      <w:r w:rsidR="00126F42" w:rsidRPr="00940D9C">
        <w:rPr>
          <w:rFonts w:ascii="Arial" w:hAnsi="Arial" w:cs="Arial"/>
          <w:sz w:val="24"/>
          <w:szCs w:val="24"/>
        </w:rPr>
        <w:t xml:space="preserve">consented for </w:t>
      </w:r>
      <w:r w:rsidRPr="00940D9C">
        <w:rPr>
          <w:rFonts w:ascii="Arial" w:hAnsi="Arial" w:cs="Arial"/>
          <w:sz w:val="24"/>
          <w:szCs w:val="24"/>
        </w:rPr>
        <w:t xml:space="preserve">SARS/Customs to share their (trade) data with </w:t>
      </w:r>
      <w:r w:rsidR="00126F42" w:rsidRPr="00940D9C">
        <w:rPr>
          <w:rFonts w:ascii="Arial" w:hAnsi="Arial" w:cs="Arial"/>
          <w:sz w:val="24"/>
          <w:szCs w:val="24"/>
        </w:rPr>
        <w:t>OGAs</w:t>
      </w:r>
      <w:r w:rsidRPr="00940D9C">
        <w:rPr>
          <w:rFonts w:ascii="Arial" w:hAnsi="Arial" w:cs="Arial"/>
          <w:sz w:val="24"/>
          <w:szCs w:val="24"/>
        </w:rPr>
        <w:t xml:space="preserve"> (State Vet., Plant Inspection). If the trader has given such consent, the electronic process will apply</w:t>
      </w:r>
      <w:r w:rsidR="00126F42" w:rsidRPr="00940D9C">
        <w:rPr>
          <w:rFonts w:ascii="Arial" w:hAnsi="Arial" w:cs="Arial"/>
          <w:sz w:val="24"/>
          <w:szCs w:val="24"/>
        </w:rPr>
        <w:t>;</w:t>
      </w:r>
      <w:r w:rsidRPr="00940D9C">
        <w:rPr>
          <w:rFonts w:ascii="Arial" w:hAnsi="Arial" w:cs="Arial"/>
          <w:sz w:val="24"/>
          <w:szCs w:val="24"/>
        </w:rPr>
        <w:t xml:space="preserve"> if not, the existing manual process will</w:t>
      </w:r>
      <w:r w:rsidR="00126F42" w:rsidRPr="00940D9C">
        <w:rPr>
          <w:rFonts w:ascii="Arial" w:hAnsi="Arial" w:cs="Arial"/>
          <w:sz w:val="24"/>
          <w:szCs w:val="24"/>
        </w:rPr>
        <w:t xml:space="preserve"> apply</w:t>
      </w:r>
      <w:r w:rsidRPr="00940D9C">
        <w:rPr>
          <w:rFonts w:ascii="Arial" w:hAnsi="Arial" w:cs="Arial"/>
          <w:sz w:val="24"/>
          <w:szCs w:val="24"/>
        </w:rPr>
        <w:t>.</w:t>
      </w:r>
    </w:p>
    <w:p w14:paraId="4822A632" w14:textId="2B524D17" w:rsidR="00145895" w:rsidRPr="00940D9C" w:rsidRDefault="00145895" w:rsidP="00F4709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40D9C">
        <w:rPr>
          <w:rFonts w:ascii="Arial" w:hAnsi="Arial" w:cs="Arial"/>
          <w:b/>
          <w:bCs/>
          <w:sz w:val="24"/>
          <w:szCs w:val="24"/>
        </w:rPr>
        <w:t xml:space="preserve">Q. </w:t>
      </w:r>
      <w:r w:rsidR="004C1A43" w:rsidRPr="00940D9C">
        <w:rPr>
          <w:rFonts w:ascii="Arial" w:hAnsi="Arial" w:cs="Arial"/>
          <w:b/>
          <w:bCs/>
          <w:sz w:val="24"/>
          <w:szCs w:val="24"/>
        </w:rPr>
        <w:t xml:space="preserve">What is </w:t>
      </w:r>
      <w:r w:rsidR="00126F42" w:rsidRPr="00940D9C">
        <w:rPr>
          <w:rFonts w:ascii="Arial" w:hAnsi="Arial" w:cs="Arial"/>
          <w:b/>
          <w:bCs/>
          <w:sz w:val="24"/>
          <w:szCs w:val="24"/>
        </w:rPr>
        <w:t>t</w:t>
      </w:r>
      <w:r w:rsidR="004C1A43" w:rsidRPr="00940D9C">
        <w:rPr>
          <w:rFonts w:ascii="Arial" w:hAnsi="Arial" w:cs="Arial"/>
          <w:b/>
          <w:bCs/>
          <w:sz w:val="24"/>
          <w:szCs w:val="24"/>
        </w:rPr>
        <w:t>rader consent?</w:t>
      </w:r>
    </w:p>
    <w:p w14:paraId="634F922F" w14:textId="267F8F34" w:rsidR="004C1A43" w:rsidRPr="00940D9C" w:rsidRDefault="004C1A43" w:rsidP="00F4709A">
      <w:pPr>
        <w:jc w:val="both"/>
        <w:rPr>
          <w:rFonts w:ascii="Arial" w:hAnsi="Arial" w:cs="Arial"/>
          <w:sz w:val="24"/>
          <w:szCs w:val="24"/>
        </w:rPr>
      </w:pPr>
      <w:r w:rsidRPr="00940D9C">
        <w:rPr>
          <w:rFonts w:ascii="Arial" w:hAnsi="Arial" w:cs="Arial"/>
          <w:sz w:val="24"/>
          <w:szCs w:val="24"/>
        </w:rPr>
        <w:t xml:space="preserve">A. </w:t>
      </w:r>
      <w:r w:rsidR="00126F42" w:rsidRPr="00940D9C">
        <w:rPr>
          <w:rFonts w:ascii="Arial" w:hAnsi="Arial" w:cs="Arial"/>
          <w:sz w:val="24"/>
          <w:szCs w:val="24"/>
        </w:rPr>
        <w:t>T</w:t>
      </w:r>
      <w:r w:rsidRPr="00940D9C">
        <w:rPr>
          <w:rFonts w:ascii="Arial" w:hAnsi="Arial" w:cs="Arial"/>
          <w:sz w:val="24"/>
          <w:szCs w:val="24"/>
        </w:rPr>
        <w:t xml:space="preserve">rader consent is permission </w:t>
      </w:r>
      <w:r w:rsidR="00126F42" w:rsidRPr="00940D9C">
        <w:rPr>
          <w:rFonts w:ascii="Arial" w:hAnsi="Arial" w:cs="Arial"/>
          <w:sz w:val="24"/>
          <w:szCs w:val="24"/>
        </w:rPr>
        <w:t xml:space="preserve">granted </w:t>
      </w:r>
      <w:r w:rsidRPr="00940D9C">
        <w:rPr>
          <w:rFonts w:ascii="Arial" w:hAnsi="Arial" w:cs="Arial"/>
          <w:sz w:val="24"/>
          <w:szCs w:val="24"/>
        </w:rPr>
        <w:t xml:space="preserve">by a trader to Customs to share their (trader’s) goods declaration data with OGAs should it be required, </w:t>
      </w:r>
      <w:r w:rsidR="00EE5285" w:rsidRPr="00940D9C">
        <w:rPr>
          <w:rFonts w:ascii="Arial" w:hAnsi="Arial" w:cs="Arial"/>
          <w:sz w:val="24"/>
          <w:szCs w:val="24"/>
        </w:rPr>
        <w:t>i.e.,</w:t>
      </w:r>
      <w:r w:rsidRPr="00940D9C">
        <w:rPr>
          <w:rFonts w:ascii="Arial" w:hAnsi="Arial" w:cs="Arial"/>
          <w:sz w:val="24"/>
          <w:szCs w:val="24"/>
        </w:rPr>
        <w:t xml:space="preserve"> if inspection by the OGA is required</w:t>
      </w:r>
      <w:r w:rsidR="00EE5285" w:rsidRPr="00940D9C">
        <w:rPr>
          <w:rFonts w:ascii="Arial" w:hAnsi="Arial" w:cs="Arial"/>
          <w:sz w:val="24"/>
          <w:szCs w:val="24"/>
        </w:rPr>
        <w:t xml:space="preserve">. </w:t>
      </w:r>
    </w:p>
    <w:p w14:paraId="5AD1D0AC" w14:textId="0312FF7F" w:rsidR="0002776B" w:rsidRPr="00940D9C" w:rsidRDefault="0002776B" w:rsidP="00F4709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40D9C">
        <w:rPr>
          <w:rFonts w:ascii="Arial" w:hAnsi="Arial" w:cs="Arial"/>
          <w:b/>
          <w:bCs/>
          <w:sz w:val="24"/>
          <w:szCs w:val="24"/>
        </w:rPr>
        <w:t>Q. What happens if there is a change in ownership of goods halfway through the declaration process</w:t>
      </w:r>
      <w:r w:rsidR="00126F42" w:rsidRPr="00940D9C">
        <w:rPr>
          <w:rFonts w:ascii="Arial" w:hAnsi="Arial" w:cs="Arial"/>
          <w:b/>
          <w:bCs/>
          <w:sz w:val="24"/>
          <w:szCs w:val="24"/>
        </w:rPr>
        <w:t xml:space="preserve"> </w:t>
      </w:r>
      <w:r w:rsidR="00940D9C" w:rsidRPr="00940D9C">
        <w:rPr>
          <w:rFonts w:ascii="Arial" w:hAnsi="Arial" w:cs="Arial"/>
          <w:b/>
          <w:bCs/>
          <w:sz w:val="24"/>
          <w:szCs w:val="24"/>
        </w:rPr>
        <w:t>regarding</w:t>
      </w:r>
      <w:r w:rsidRPr="00940D9C">
        <w:rPr>
          <w:rFonts w:ascii="Arial" w:hAnsi="Arial" w:cs="Arial"/>
          <w:b/>
          <w:bCs/>
          <w:sz w:val="24"/>
          <w:szCs w:val="24"/>
        </w:rPr>
        <w:t xml:space="preserve"> such a trader consent?</w:t>
      </w:r>
    </w:p>
    <w:p w14:paraId="036957B8" w14:textId="425B2804" w:rsidR="0002776B" w:rsidRPr="00940D9C" w:rsidRDefault="0002776B" w:rsidP="00F4709A">
      <w:pPr>
        <w:jc w:val="both"/>
        <w:rPr>
          <w:rFonts w:ascii="Arial" w:hAnsi="Arial" w:cs="Arial"/>
          <w:sz w:val="24"/>
          <w:szCs w:val="24"/>
        </w:rPr>
      </w:pPr>
      <w:r w:rsidRPr="00940D9C">
        <w:rPr>
          <w:rFonts w:ascii="Arial" w:hAnsi="Arial" w:cs="Arial"/>
          <w:sz w:val="24"/>
          <w:szCs w:val="24"/>
        </w:rPr>
        <w:t>A. If the</w:t>
      </w:r>
      <w:r w:rsidR="0048180B" w:rsidRPr="00940D9C">
        <w:rPr>
          <w:rFonts w:ascii="Arial" w:hAnsi="Arial" w:cs="Arial"/>
          <w:sz w:val="24"/>
          <w:szCs w:val="24"/>
        </w:rPr>
        <w:t xml:space="preserve"> first </w:t>
      </w:r>
      <w:r w:rsidRPr="00940D9C">
        <w:rPr>
          <w:rFonts w:ascii="Arial" w:hAnsi="Arial" w:cs="Arial"/>
          <w:sz w:val="24"/>
          <w:szCs w:val="24"/>
        </w:rPr>
        <w:t>trader</w:t>
      </w:r>
      <w:r w:rsidR="0048180B" w:rsidRPr="00940D9C">
        <w:rPr>
          <w:rFonts w:ascii="Arial" w:hAnsi="Arial" w:cs="Arial"/>
          <w:sz w:val="24"/>
          <w:szCs w:val="24"/>
        </w:rPr>
        <w:t xml:space="preserve"> (on the original declaration)</w:t>
      </w:r>
      <w:r w:rsidRPr="00940D9C">
        <w:rPr>
          <w:rFonts w:ascii="Arial" w:hAnsi="Arial" w:cs="Arial"/>
          <w:sz w:val="24"/>
          <w:szCs w:val="24"/>
        </w:rPr>
        <w:t xml:space="preserve"> had given consent and the new one (on the declaration amendment or VOC) has not, the inspection process will begin electronically and revert to the existing manual process ac</w:t>
      </w:r>
      <w:r w:rsidR="00F35956" w:rsidRPr="00940D9C">
        <w:rPr>
          <w:rFonts w:ascii="Arial" w:hAnsi="Arial" w:cs="Arial"/>
          <w:sz w:val="24"/>
          <w:szCs w:val="24"/>
        </w:rPr>
        <w:t>c</w:t>
      </w:r>
      <w:r w:rsidRPr="00940D9C">
        <w:rPr>
          <w:rFonts w:ascii="Arial" w:hAnsi="Arial" w:cs="Arial"/>
          <w:sz w:val="24"/>
          <w:szCs w:val="24"/>
        </w:rPr>
        <w:t>ordingly</w:t>
      </w:r>
      <w:r w:rsidR="00EE5285" w:rsidRPr="00940D9C">
        <w:rPr>
          <w:rFonts w:ascii="Arial" w:hAnsi="Arial" w:cs="Arial"/>
          <w:sz w:val="24"/>
          <w:szCs w:val="24"/>
        </w:rPr>
        <w:t xml:space="preserve">. </w:t>
      </w:r>
    </w:p>
    <w:p w14:paraId="49DAD087" w14:textId="59ECC563" w:rsidR="004C1A43" w:rsidRPr="00940D9C" w:rsidRDefault="004C1A43" w:rsidP="00F4709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40D9C">
        <w:rPr>
          <w:rFonts w:ascii="Arial" w:hAnsi="Arial" w:cs="Arial"/>
          <w:b/>
          <w:bCs/>
          <w:sz w:val="24"/>
          <w:szCs w:val="24"/>
        </w:rPr>
        <w:t xml:space="preserve">Q. Who are the OGAs in this regard? </w:t>
      </w:r>
    </w:p>
    <w:p w14:paraId="597AE83D" w14:textId="4665DE68" w:rsidR="004C1A43" w:rsidRPr="00940D9C" w:rsidRDefault="004C1A43" w:rsidP="00F4709A">
      <w:pPr>
        <w:jc w:val="both"/>
        <w:rPr>
          <w:rFonts w:ascii="Arial" w:hAnsi="Arial" w:cs="Arial"/>
          <w:sz w:val="24"/>
          <w:szCs w:val="24"/>
        </w:rPr>
      </w:pPr>
      <w:r w:rsidRPr="00940D9C">
        <w:rPr>
          <w:rFonts w:ascii="Arial" w:hAnsi="Arial" w:cs="Arial"/>
          <w:sz w:val="24"/>
          <w:szCs w:val="24"/>
        </w:rPr>
        <w:t xml:space="preserve">A. OGAs refer to the other government agencies who are part of the trade flow, and who might need to perform documentary and/ or goods inspection on a specific declaration. </w:t>
      </w:r>
      <w:r w:rsidRPr="00940D9C">
        <w:rPr>
          <w:rFonts w:ascii="Arial" w:hAnsi="Arial" w:cs="Arial"/>
          <w:b/>
          <w:bCs/>
          <w:sz w:val="24"/>
          <w:szCs w:val="24"/>
        </w:rPr>
        <w:t>For phase 1</w:t>
      </w:r>
      <w:r w:rsidRPr="00940D9C">
        <w:rPr>
          <w:rFonts w:ascii="Arial" w:hAnsi="Arial" w:cs="Arial"/>
          <w:sz w:val="24"/>
          <w:szCs w:val="24"/>
        </w:rPr>
        <w:t xml:space="preserve"> (being implemented on the </w:t>
      </w:r>
      <w:r w:rsidR="00126F42" w:rsidRPr="00940D9C">
        <w:rPr>
          <w:rFonts w:ascii="Arial" w:hAnsi="Arial" w:cs="Arial"/>
          <w:sz w:val="24"/>
          <w:szCs w:val="24"/>
        </w:rPr>
        <w:t>15</w:t>
      </w:r>
      <w:r w:rsidR="00126F42" w:rsidRPr="00940D9C">
        <w:rPr>
          <w:rFonts w:ascii="Arial" w:hAnsi="Arial" w:cs="Arial"/>
          <w:sz w:val="24"/>
          <w:szCs w:val="24"/>
          <w:vertAlign w:val="superscript"/>
        </w:rPr>
        <w:t>th of</w:t>
      </w:r>
      <w:r w:rsidRPr="00940D9C">
        <w:rPr>
          <w:rFonts w:ascii="Arial" w:hAnsi="Arial" w:cs="Arial"/>
          <w:sz w:val="24"/>
          <w:szCs w:val="24"/>
        </w:rPr>
        <w:t xml:space="preserve"> September 2023, only Department of Agriculture, Land Reform and Rural Development (DALRRD), also known as State Vet and/or Plant Inspection, will be onboarded on this new electronic inspection process. </w:t>
      </w:r>
      <w:r w:rsidR="00EE5285" w:rsidRPr="00940D9C">
        <w:rPr>
          <w:rFonts w:ascii="Arial" w:hAnsi="Arial" w:cs="Arial"/>
          <w:sz w:val="24"/>
          <w:szCs w:val="24"/>
        </w:rPr>
        <w:t>Thus,</w:t>
      </w:r>
      <w:r w:rsidRPr="00940D9C">
        <w:rPr>
          <w:rFonts w:ascii="Arial" w:hAnsi="Arial" w:cs="Arial"/>
          <w:sz w:val="24"/>
          <w:szCs w:val="24"/>
        </w:rPr>
        <w:t xml:space="preserve"> Port Health</w:t>
      </w:r>
      <w:r w:rsidR="00EE5285" w:rsidRPr="00940D9C">
        <w:rPr>
          <w:rFonts w:ascii="Arial" w:hAnsi="Arial" w:cs="Arial"/>
          <w:sz w:val="24"/>
          <w:szCs w:val="24"/>
        </w:rPr>
        <w:t xml:space="preserve"> and Department of Forestry, Fisheries and Environment (DFFE)</w:t>
      </w:r>
      <w:r w:rsidRPr="00940D9C">
        <w:rPr>
          <w:rFonts w:ascii="Arial" w:hAnsi="Arial" w:cs="Arial"/>
          <w:sz w:val="24"/>
          <w:szCs w:val="24"/>
        </w:rPr>
        <w:t xml:space="preserve"> will remain manual at this stage</w:t>
      </w:r>
      <w:r w:rsidR="00EE5285" w:rsidRPr="00940D9C">
        <w:rPr>
          <w:rFonts w:ascii="Arial" w:hAnsi="Arial" w:cs="Arial"/>
          <w:sz w:val="24"/>
          <w:szCs w:val="24"/>
        </w:rPr>
        <w:t xml:space="preserve">. </w:t>
      </w:r>
    </w:p>
    <w:p w14:paraId="525327AB" w14:textId="4B9D51DF" w:rsidR="0013581D" w:rsidRPr="00940D9C" w:rsidRDefault="0013581D" w:rsidP="00F4709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40D9C">
        <w:rPr>
          <w:rFonts w:ascii="Arial" w:hAnsi="Arial" w:cs="Arial"/>
          <w:b/>
          <w:bCs/>
          <w:sz w:val="24"/>
          <w:szCs w:val="24"/>
        </w:rPr>
        <w:lastRenderedPageBreak/>
        <w:t>Q. Would this electronic inspection process be any quicker than the existing one?</w:t>
      </w:r>
    </w:p>
    <w:p w14:paraId="43131841" w14:textId="1084538F" w:rsidR="00145895" w:rsidRPr="00940D9C" w:rsidRDefault="0013581D" w:rsidP="00F4709A">
      <w:pPr>
        <w:jc w:val="both"/>
        <w:rPr>
          <w:rFonts w:ascii="Arial" w:hAnsi="Arial" w:cs="Arial"/>
          <w:sz w:val="24"/>
          <w:szCs w:val="24"/>
        </w:rPr>
      </w:pPr>
      <w:r w:rsidRPr="00940D9C">
        <w:rPr>
          <w:rFonts w:ascii="Arial" w:hAnsi="Arial" w:cs="Arial"/>
          <w:sz w:val="24"/>
          <w:szCs w:val="24"/>
        </w:rPr>
        <w:t xml:space="preserve">A. It is envisaged that the turnaround times for the electronic process would not be any </w:t>
      </w:r>
      <w:r w:rsidR="00940D9C" w:rsidRPr="00940D9C">
        <w:rPr>
          <w:rFonts w:ascii="Arial" w:hAnsi="Arial" w:cs="Arial"/>
          <w:sz w:val="24"/>
          <w:szCs w:val="24"/>
        </w:rPr>
        <w:t>longer and</w:t>
      </w:r>
      <w:r w:rsidRPr="00940D9C">
        <w:rPr>
          <w:rFonts w:ascii="Arial" w:hAnsi="Arial" w:cs="Arial"/>
          <w:sz w:val="24"/>
          <w:szCs w:val="24"/>
        </w:rPr>
        <w:t xml:space="preserve"> would be more efficient</w:t>
      </w:r>
      <w:r w:rsidR="00302C0A" w:rsidRPr="00940D9C">
        <w:rPr>
          <w:rFonts w:ascii="Arial" w:hAnsi="Arial" w:cs="Arial"/>
          <w:sz w:val="24"/>
          <w:szCs w:val="24"/>
        </w:rPr>
        <w:t xml:space="preserve"> (including reduction of </w:t>
      </w:r>
      <w:r w:rsidR="00A56990" w:rsidRPr="00940D9C">
        <w:rPr>
          <w:rFonts w:ascii="Arial" w:hAnsi="Arial" w:cs="Arial"/>
          <w:sz w:val="24"/>
          <w:szCs w:val="24"/>
        </w:rPr>
        <w:t>paperwork</w:t>
      </w:r>
      <w:r w:rsidR="00302C0A" w:rsidRPr="00940D9C">
        <w:rPr>
          <w:rFonts w:ascii="Arial" w:hAnsi="Arial" w:cs="Arial"/>
          <w:sz w:val="24"/>
          <w:szCs w:val="24"/>
        </w:rPr>
        <w:t>)</w:t>
      </w:r>
      <w:r w:rsidRPr="00940D9C">
        <w:rPr>
          <w:rFonts w:ascii="Arial" w:hAnsi="Arial" w:cs="Arial"/>
          <w:sz w:val="24"/>
          <w:szCs w:val="24"/>
        </w:rPr>
        <w:t xml:space="preserve"> with less duplications. Additionally, it would result in quicker port dwell time.</w:t>
      </w:r>
      <w:r w:rsidR="00145895" w:rsidRPr="00940D9C">
        <w:rPr>
          <w:rFonts w:ascii="Arial" w:hAnsi="Arial" w:cs="Arial"/>
          <w:sz w:val="24"/>
          <w:szCs w:val="24"/>
        </w:rPr>
        <w:t xml:space="preserve"> </w:t>
      </w:r>
    </w:p>
    <w:p w14:paraId="16C49D99" w14:textId="01DEDD5C" w:rsidR="0013581D" w:rsidRPr="00940D9C" w:rsidRDefault="00C45D88" w:rsidP="00F4709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40D9C">
        <w:rPr>
          <w:rFonts w:ascii="Arial" w:hAnsi="Arial" w:cs="Arial"/>
          <w:b/>
          <w:bCs/>
          <w:sz w:val="24"/>
          <w:szCs w:val="24"/>
        </w:rPr>
        <w:t>Q. Would there be multiple inspection cases?</w:t>
      </w:r>
    </w:p>
    <w:p w14:paraId="43DCB6F0" w14:textId="6C72D481" w:rsidR="00C45D88" w:rsidRPr="00940D9C" w:rsidRDefault="00C45D88" w:rsidP="00F4709A">
      <w:pPr>
        <w:jc w:val="both"/>
        <w:rPr>
          <w:rFonts w:ascii="Arial" w:hAnsi="Arial" w:cs="Arial"/>
          <w:sz w:val="24"/>
          <w:szCs w:val="24"/>
        </w:rPr>
      </w:pPr>
      <w:r w:rsidRPr="00940D9C">
        <w:rPr>
          <w:rFonts w:ascii="Arial" w:hAnsi="Arial" w:cs="Arial"/>
          <w:sz w:val="24"/>
          <w:szCs w:val="24"/>
        </w:rPr>
        <w:t>A. Yes, each applicable agency would have its inspection case and number (that would be linked to each other)</w:t>
      </w:r>
    </w:p>
    <w:p w14:paraId="56392B0D" w14:textId="347D2D95" w:rsidR="00C45D88" w:rsidRPr="00940D9C" w:rsidRDefault="00EE688D" w:rsidP="00F4709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40D9C">
        <w:rPr>
          <w:rFonts w:ascii="Arial" w:hAnsi="Arial" w:cs="Arial"/>
          <w:b/>
          <w:bCs/>
          <w:sz w:val="24"/>
          <w:szCs w:val="24"/>
        </w:rPr>
        <w:t>Q. What happens in case of contradictory inspection outcomes?</w:t>
      </w:r>
    </w:p>
    <w:p w14:paraId="1BDE9EF5" w14:textId="37FABEE2" w:rsidR="00C51F64" w:rsidRPr="00940D9C" w:rsidRDefault="00EE688D" w:rsidP="00F4709A">
      <w:pPr>
        <w:jc w:val="both"/>
        <w:rPr>
          <w:rFonts w:ascii="Arial" w:hAnsi="Arial" w:cs="Arial"/>
          <w:sz w:val="24"/>
          <w:szCs w:val="24"/>
        </w:rPr>
      </w:pPr>
      <w:r w:rsidRPr="00940D9C">
        <w:rPr>
          <w:rFonts w:ascii="Arial" w:hAnsi="Arial" w:cs="Arial"/>
          <w:sz w:val="24"/>
          <w:szCs w:val="24"/>
        </w:rPr>
        <w:t>A. The respective inspection outcomes would be combined and harmonised.</w:t>
      </w:r>
    </w:p>
    <w:p w14:paraId="76AA582A" w14:textId="1BA24AB3" w:rsidR="0034708B" w:rsidRPr="00940D9C" w:rsidRDefault="0034708B" w:rsidP="00F4709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40D9C">
        <w:rPr>
          <w:rFonts w:ascii="Arial" w:hAnsi="Arial" w:cs="Arial"/>
          <w:b/>
          <w:bCs/>
          <w:sz w:val="24"/>
          <w:szCs w:val="24"/>
        </w:rPr>
        <w:t>Q. Would there be (any) additional (CUSRES) notifications or messages?</w:t>
      </w:r>
    </w:p>
    <w:p w14:paraId="1181B69D" w14:textId="37E6D821" w:rsidR="0034708B" w:rsidRPr="00940D9C" w:rsidRDefault="0034708B" w:rsidP="00F4709A">
      <w:pPr>
        <w:jc w:val="both"/>
        <w:rPr>
          <w:rFonts w:ascii="Arial" w:hAnsi="Arial" w:cs="Arial"/>
          <w:sz w:val="24"/>
          <w:szCs w:val="24"/>
        </w:rPr>
      </w:pPr>
      <w:r w:rsidRPr="00940D9C">
        <w:rPr>
          <w:rFonts w:ascii="Arial" w:hAnsi="Arial" w:cs="Arial"/>
          <w:sz w:val="24"/>
          <w:szCs w:val="24"/>
        </w:rPr>
        <w:t>A. Yes, to accommodate the DALRRD, the following notifications will be introduced: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7"/>
        <w:gridCol w:w="7799"/>
      </w:tblGrid>
      <w:tr w:rsidR="0034708B" w:rsidRPr="00940D9C" w14:paraId="53E8395B" w14:textId="77777777" w:rsidTr="00C51F64">
        <w:tc>
          <w:tcPr>
            <w:tcW w:w="1101" w:type="dxa"/>
          </w:tcPr>
          <w:p w14:paraId="6B131F1D" w14:textId="59490BFC" w:rsidR="0034708B" w:rsidRPr="00940D9C" w:rsidRDefault="0034708B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CUSRES</w:t>
            </w:r>
          </w:p>
        </w:tc>
        <w:tc>
          <w:tcPr>
            <w:tcW w:w="8141" w:type="dxa"/>
          </w:tcPr>
          <w:p w14:paraId="579D984A" w14:textId="2CB0D90F" w:rsidR="0034708B" w:rsidRPr="00940D9C" w:rsidRDefault="0034708B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Number</w:t>
            </w:r>
          </w:p>
        </w:tc>
      </w:tr>
      <w:tr w:rsidR="004A1B8B" w:rsidRPr="00940D9C" w14:paraId="722F1C3A" w14:textId="77777777" w:rsidTr="00C51F64">
        <w:tc>
          <w:tcPr>
            <w:tcW w:w="1101" w:type="dxa"/>
          </w:tcPr>
          <w:p w14:paraId="0EED362C" w14:textId="2EC67063" w:rsidR="0034708B" w:rsidRPr="00940D9C" w:rsidRDefault="002B2085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  <w:lang w:eastAsia="en-ZA"/>
              </w:rPr>
              <w:t>70</w:t>
            </w:r>
          </w:p>
        </w:tc>
        <w:tc>
          <w:tcPr>
            <w:tcW w:w="8141" w:type="dxa"/>
          </w:tcPr>
          <w:p w14:paraId="3D43EEDB" w14:textId="1CAC854C" w:rsidR="0034708B" w:rsidRPr="00940D9C" w:rsidRDefault="002B2085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  <w:lang w:eastAsia="en-ZA"/>
              </w:rPr>
              <w:t>SARS Formalities Finalised,</w:t>
            </w:r>
            <w:r w:rsidR="000E2D11" w:rsidRPr="00940D9C">
              <w:rPr>
                <w:rFonts w:ascii="Arial" w:hAnsi="Arial" w:cs="Arial"/>
                <w:sz w:val="24"/>
                <w:szCs w:val="24"/>
                <w:lang w:eastAsia="en-ZA"/>
              </w:rPr>
              <w:t xml:space="preserve"> </w:t>
            </w:r>
            <w:r w:rsidRPr="00940D9C">
              <w:rPr>
                <w:rFonts w:ascii="Arial" w:hAnsi="Arial" w:cs="Arial"/>
                <w:sz w:val="24"/>
                <w:szCs w:val="24"/>
                <w:lang w:eastAsia="en-ZA"/>
              </w:rPr>
              <w:t>Awaiting OGA(s) Outcome(s)</w:t>
            </w:r>
          </w:p>
        </w:tc>
      </w:tr>
      <w:tr w:rsidR="004A1B8B" w:rsidRPr="00940D9C" w14:paraId="61D89A9C" w14:textId="77777777" w:rsidTr="00C51F64">
        <w:tc>
          <w:tcPr>
            <w:tcW w:w="1101" w:type="dxa"/>
          </w:tcPr>
          <w:p w14:paraId="3FFFF187" w14:textId="4B5235B9" w:rsidR="0034708B" w:rsidRPr="00940D9C" w:rsidRDefault="002B2085" w:rsidP="00F4709A">
            <w:pPr>
              <w:jc w:val="both"/>
              <w:rPr>
                <w:rFonts w:ascii="Arial" w:hAnsi="Arial" w:cs="Arial"/>
                <w:sz w:val="24"/>
                <w:szCs w:val="24"/>
                <w:lang w:eastAsia="en-ZA"/>
              </w:rPr>
            </w:pPr>
            <w:r w:rsidRPr="00940D9C">
              <w:rPr>
                <w:rFonts w:ascii="Arial" w:hAnsi="Arial" w:cs="Arial"/>
                <w:sz w:val="24"/>
                <w:szCs w:val="24"/>
                <w:lang w:eastAsia="en-ZA"/>
              </w:rPr>
              <w:t>71</w:t>
            </w:r>
          </w:p>
        </w:tc>
        <w:tc>
          <w:tcPr>
            <w:tcW w:w="8141" w:type="dxa"/>
          </w:tcPr>
          <w:p w14:paraId="58E199DD" w14:textId="37EB2073" w:rsidR="0034708B" w:rsidRPr="00940D9C" w:rsidRDefault="002B2085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  <w:lang w:eastAsia="en-ZA"/>
              </w:rPr>
              <w:t>SARS Stop, Awaiting OGA(s) Outcome(s)</w:t>
            </w:r>
          </w:p>
        </w:tc>
      </w:tr>
      <w:tr w:rsidR="004A1B8B" w:rsidRPr="00940D9C" w14:paraId="65CCB45C" w14:textId="77777777" w:rsidTr="00C51F64">
        <w:tc>
          <w:tcPr>
            <w:tcW w:w="1101" w:type="dxa"/>
          </w:tcPr>
          <w:p w14:paraId="47E3C3DD" w14:textId="108E983D" w:rsidR="0034708B" w:rsidRPr="00940D9C" w:rsidRDefault="0034708B" w:rsidP="00F4709A">
            <w:pPr>
              <w:jc w:val="both"/>
              <w:rPr>
                <w:rFonts w:ascii="Arial" w:hAnsi="Arial" w:cs="Arial"/>
                <w:sz w:val="24"/>
                <w:szCs w:val="24"/>
                <w:lang w:eastAsia="en-ZA"/>
              </w:rPr>
            </w:pPr>
            <w:r w:rsidRPr="00940D9C">
              <w:rPr>
                <w:rFonts w:ascii="Arial" w:hAnsi="Arial" w:cs="Arial"/>
                <w:sz w:val="24"/>
                <w:szCs w:val="24"/>
                <w:lang w:eastAsia="en-ZA"/>
              </w:rPr>
              <w:t>72</w:t>
            </w:r>
          </w:p>
        </w:tc>
        <w:tc>
          <w:tcPr>
            <w:tcW w:w="8141" w:type="dxa"/>
          </w:tcPr>
          <w:p w14:paraId="07DDDF50" w14:textId="77CEEBE1" w:rsidR="0034708B" w:rsidRPr="00940D9C" w:rsidRDefault="0034708B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  <w:lang w:eastAsia="en-ZA"/>
              </w:rPr>
              <w:t>Create OGA Child Case</w:t>
            </w:r>
          </w:p>
        </w:tc>
      </w:tr>
      <w:tr w:rsidR="004A1B8B" w:rsidRPr="00940D9C" w14:paraId="7D4AD9A5" w14:textId="77777777" w:rsidTr="00C51F64">
        <w:tc>
          <w:tcPr>
            <w:tcW w:w="1101" w:type="dxa"/>
          </w:tcPr>
          <w:p w14:paraId="67BDD548" w14:textId="2F18266D" w:rsidR="0034708B" w:rsidRPr="00940D9C" w:rsidRDefault="0034708B" w:rsidP="00F4709A">
            <w:pPr>
              <w:jc w:val="both"/>
              <w:rPr>
                <w:rFonts w:ascii="Arial" w:hAnsi="Arial" w:cs="Arial"/>
                <w:sz w:val="24"/>
                <w:szCs w:val="24"/>
                <w:lang w:eastAsia="en-ZA"/>
              </w:rPr>
            </w:pPr>
            <w:r w:rsidRPr="00940D9C">
              <w:rPr>
                <w:rFonts w:ascii="Arial" w:hAnsi="Arial" w:cs="Arial"/>
                <w:sz w:val="24"/>
                <w:szCs w:val="24"/>
                <w:lang w:eastAsia="en-ZA"/>
              </w:rPr>
              <w:t>73</w:t>
            </w:r>
          </w:p>
        </w:tc>
        <w:tc>
          <w:tcPr>
            <w:tcW w:w="8141" w:type="dxa"/>
          </w:tcPr>
          <w:p w14:paraId="78AC1913" w14:textId="3D7AEC7F" w:rsidR="0034708B" w:rsidRPr="00940D9C" w:rsidRDefault="0034708B" w:rsidP="00F4709A">
            <w:pPr>
              <w:jc w:val="both"/>
              <w:rPr>
                <w:rFonts w:ascii="Arial" w:hAnsi="Arial" w:cs="Arial"/>
                <w:sz w:val="24"/>
                <w:szCs w:val="24"/>
                <w:lang w:eastAsia="en-ZA"/>
              </w:rPr>
            </w:pPr>
            <w:r w:rsidRPr="00940D9C">
              <w:rPr>
                <w:rFonts w:ascii="Arial" w:hAnsi="Arial" w:cs="Arial"/>
                <w:sz w:val="24"/>
                <w:szCs w:val="24"/>
                <w:lang w:eastAsia="en-ZA"/>
              </w:rPr>
              <w:t>OGA Additional Information Required</w:t>
            </w:r>
          </w:p>
        </w:tc>
      </w:tr>
      <w:tr w:rsidR="004A1B8B" w:rsidRPr="00940D9C" w14:paraId="25DEBABA" w14:textId="77777777" w:rsidTr="00C51F64">
        <w:tc>
          <w:tcPr>
            <w:tcW w:w="1101" w:type="dxa"/>
          </w:tcPr>
          <w:p w14:paraId="627F5850" w14:textId="47F9C1E9" w:rsidR="0034708B" w:rsidRPr="00940D9C" w:rsidRDefault="0034708B" w:rsidP="00F4709A">
            <w:pPr>
              <w:jc w:val="both"/>
              <w:rPr>
                <w:rFonts w:ascii="Arial" w:hAnsi="Arial" w:cs="Arial"/>
                <w:sz w:val="24"/>
                <w:szCs w:val="24"/>
                <w:lang w:eastAsia="en-ZA"/>
              </w:rPr>
            </w:pPr>
            <w:r w:rsidRPr="00940D9C">
              <w:rPr>
                <w:rFonts w:ascii="Arial" w:hAnsi="Arial" w:cs="Arial"/>
                <w:sz w:val="24"/>
                <w:szCs w:val="24"/>
                <w:lang w:eastAsia="en-ZA"/>
              </w:rPr>
              <w:t>74</w:t>
            </w:r>
          </w:p>
        </w:tc>
        <w:tc>
          <w:tcPr>
            <w:tcW w:w="8141" w:type="dxa"/>
          </w:tcPr>
          <w:p w14:paraId="4A6BD532" w14:textId="7472C887" w:rsidR="0034708B" w:rsidRPr="00940D9C" w:rsidRDefault="0034708B" w:rsidP="00F4709A">
            <w:pPr>
              <w:jc w:val="both"/>
              <w:rPr>
                <w:rFonts w:ascii="Arial" w:hAnsi="Arial" w:cs="Arial"/>
                <w:sz w:val="24"/>
                <w:szCs w:val="24"/>
                <w:lang w:eastAsia="en-ZA"/>
              </w:rPr>
            </w:pPr>
            <w:r w:rsidRPr="00940D9C">
              <w:rPr>
                <w:rFonts w:ascii="Arial" w:hAnsi="Arial" w:cs="Arial"/>
                <w:sz w:val="24"/>
                <w:szCs w:val="24"/>
                <w:lang w:eastAsia="en-ZA"/>
              </w:rPr>
              <w:t>OGA Declaration Amendment Request</w:t>
            </w:r>
          </w:p>
        </w:tc>
      </w:tr>
      <w:tr w:rsidR="004A1B8B" w:rsidRPr="00940D9C" w14:paraId="3D072568" w14:textId="77777777" w:rsidTr="00C51F64">
        <w:tc>
          <w:tcPr>
            <w:tcW w:w="1101" w:type="dxa"/>
          </w:tcPr>
          <w:p w14:paraId="2FF30226" w14:textId="637F167A" w:rsidR="0034708B" w:rsidRPr="00940D9C" w:rsidRDefault="002B2085" w:rsidP="00F4709A">
            <w:pPr>
              <w:jc w:val="both"/>
              <w:rPr>
                <w:rFonts w:ascii="Arial" w:hAnsi="Arial" w:cs="Arial"/>
                <w:sz w:val="24"/>
                <w:szCs w:val="24"/>
                <w:lang w:eastAsia="en-ZA"/>
              </w:rPr>
            </w:pPr>
            <w:r w:rsidRPr="00940D9C">
              <w:rPr>
                <w:rFonts w:ascii="Arial" w:hAnsi="Arial" w:cs="Arial"/>
                <w:sz w:val="24"/>
                <w:szCs w:val="24"/>
                <w:lang w:eastAsia="en-ZA"/>
              </w:rPr>
              <w:t>75</w:t>
            </w:r>
          </w:p>
        </w:tc>
        <w:tc>
          <w:tcPr>
            <w:tcW w:w="8141" w:type="dxa"/>
          </w:tcPr>
          <w:p w14:paraId="18A6408D" w14:textId="26987FC5" w:rsidR="0034708B" w:rsidRPr="00940D9C" w:rsidRDefault="002B2085" w:rsidP="00F4709A">
            <w:pPr>
              <w:jc w:val="both"/>
              <w:rPr>
                <w:rFonts w:ascii="Arial" w:hAnsi="Arial" w:cs="Arial"/>
                <w:sz w:val="24"/>
                <w:szCs w:val="24"/>
                <w:lang w:eastAsia="en-ZA"/>
              </w:rPr>
            </w:pPr>
            <w:r w:rsidRPr="00940D9C">
              <w:rPr>
                <w:rFonts w:ascii="Arial" w:hAnsi="Arial" w:cs="Arial"/>
                <w:sz w:val="24"/>
                <w:szCs w:val="24"/>
                <w:lang w:eastAsia="en-ZA"/>
              </w:rPr>
              <w:t>OGA Physical Inspection</w:t>
            </w:r>
          </w:p>
        </w:tc>
      </w:tr>
      <w:tr w:rsidR="004A1B8B" w:rsidRPr="00940D9C" w14:paraId="4BFD64F2" w14:textId="77777777" w:rsidTr="00C51F64">
        <w:tc>
          <w:tcPr>
            <w:tcW w:w="1101" w:type="dxa"/>
          </w:tcPr>
          <w:p w14:paraId="2827B051" w14:textId="7E9F6D45" w:rsidR="002B2085" w:rsidRPr="00940D9C" w:rsidRDefault="002B2085" w:rsidP="00F4709A">
            <w:pPr>
              <w:jc w:val="both"/>
              <w:rPr>
                <w:rFonts w:ascii="Arial" w:hAnsi="Arial" w:cs="Arial"/>
                <w:sz w:val="24"/>
                <w:szCs w:val="24"/>
                <w:lang w:eastAsia="en-ZA"/>
              </w:rPr>
            </w:pPr>
            <w:r w:rsidRPr="00940D9C">
              <w:rPr>
                <w:rFonts w:ascii="Arial" w:hAnsi="Arial" w:cs="Arial"/>
                <w:sz w:val="24"/>
                <w:szCs w:val="24"/>
                <w:lang w:eastAsia="en-ZA"/>
              </w:rPr>
              <w:t>76</w:t>
            </w:r>
          </w:p>
        </w:tc>
        <w:tc>
          <w:tcPr>
            <w:tcW w:w="8141" w:type="dxa"/>
          </w:tcPr>
          <w:p w14:paraId="15A3E7B9" w14:textId="081DEF28" w:rsidR="002B2085" w:rsidRPr="00940D9C" w:rsidRDefault="002B2085" w:rsidP="00F4709A">
            <w:pPr>
              <w:jc w:val="both"/>
              <w:rPr>
                <w:rFonts w:ascii="Arial" w:hAnsi="Arial" w:cs="Arial"/>
                <w:sz w:val="24"/>
                <w:szCs w:val="24"/>
                <w:lang w:eastAsia="en-ZA"/>
              </w:rPr>
            </w:pPr>
            <w:r w:rsidRPr="00940D9C">
              <w:rPr>
                <w:rFonts w:ascii="Arial" w:hAnsi="Arial" w:cs="Arial"/>
                <w:sz w:val="24"/>
                <w:szCs w:val="24"/>
                <w:lang w:eastAsia="en-ZA"/>
              </w:rPr>
              <w:t>OGA Release</w:t>
            </w:r>
          </w:p>
        </w:tc>
      </w:tr>
      <w:tr w:rsidR="004A1B8B" w:rsidRPr="00940D9C" w14:paraId="75BB6955" w14:textId="77777777" w:rsidTr="00C51F64">
        <w:tc>
          <w:tcPr>
            <w:tcW w:w="1101" w:type="dxa"/>
          </w:tcPr>
          <w:p w14:paraId="15D7A6DB" w14:textId="16B185F9" w:rsidR="002B2085" w:rsidRPr="00940D9C" w:rsidRDefault="002B2085" w:rsidP="00F4709A">
            <w:pPr>
              <w:jc w:val="both"/>
              <w:rPr>
                <w:rFonts w:ascii="Arial" w:hAnsi="Arial" w:cs="Arial"/>
                <w:sz w:val="24"/>
                <w:szCs w:val="24"/>
                <w:lang w:eastAsia="en-ZA"/>
              </w:rPr>
            </w:pPr>
            <w:r w:rsidRPr="00940D9C">
              <w:rPr>
                <w:rFonts w:ascii="Arial" w:hAnsi="Arial" w:cs="Arial"/>
                <w:sz w:val="24"/>
                <w:szCs w:val="24"/>
                <w:lang w:eastAsia="en-ZA"/>
              </w:rPr>
              <w:t>77</w:t>
            </w:r>
          </w:p>
        </w:tc>
        <w:tc>
          <w:tcPr>
            <w:tcW w:w="8141" w:type="dxa"/>
          </w:tcPr>
          <w:p w14:paraId="0D28EA91" w14:textId="749EF1DF" w:rsidR="002B2085" w:rsidRPr="00940D9C" w:rsidRDefault="002B2085" w:rsidP="00F4709A">
            <w:pPr>
              <w:jc w:val="both"/>
              <w:rPr>
                <w:rFonts w:ascii="Arial" w:hAnsi="Arial" w:cs="Arial"/>
                <w:sz w:val="24"/>
                <w:szCs w:val="24"/>
                <w:lang w:eastAsia="en-ZA"/>
              </w:rPr>
            </w:pPr>
            <w:r w:rsidRPr="00940D9C">
              <w:rPr>
                <w:rFonts w:ascii="Arial" w:hAnsi="Arial" w:cs="Arial"/>
                <w:sz w:val="24"/>
                <w:szCs w:val="24"/>
                <w:lang w:eastAsia="en-ZA"/>
              </w:rPr>
              <w:t>OGA Discard</w:t>
            </w:r>
          </w:p>
        </w:tc>
      </w:tr>
      <w:tr w:rsidR="004A1B8B" w:rsidRPr="00940D9C" w14:paraId="6F81B7B2" w14:textId="77777777" w:rsidTr="00C51F64">
        <w:tc>
          <w:tcPr>
            <w:tcW w:w="1101" w:type="dxa"/>
          </w:tcPr>
          <w:p w14:paraId="7D090465" w14:textId="575242BE" w:rsidR="002B2085" w:rsidRPr="00940D9C" w:rsidRDefault="002B2085" w:rsidP="00F4709A">
            <w:pPr>
              <w:jc w:val="both"/>
              <w:rPr>
                <w:rFonts w:ascii="Arial" w:hAnsi="Arial" w:cs="Arial"/>
                <w:sz w:val="24"/>
                <w:szCs w:val="24"/>
                <w:lang w:eastAsia="en-ZA"/>
              </w:rPr>
            </w:pPr>
            <w:r w:rsidRPr="00940D9C">
              <w:rPr>
                <w:rFonts w:ascii="Arial" w:hAnsi="Arial" w:cs="Arial"/>
                <w:sz w:val="24"/>
                <w:szCs w:val="24"/>
                <w:lang w:eastAsia="en-ZA"/>
              </w:rPr>
              <w:t>78</w:t>
            </w:r>
          </w:p>
        </w:tc>
        <w:tc>
          <w:tcPr>
            <w:tcW w:w="8141" w:type="dxa"/>
          </w:tcPr>
          <w:p w14:paraId="5DFA89B4" w14:textId="449018C3" w:rsidR="002B2085" w:rsidRPr="00940D9C" w:rsidRDefault="002B2085" w:rsidP="00F4709A">
            <w:pPr>
              <w:jc w:val="both"/>
              <w:rPr>
                <w:rFonts w:ascii="Arial" w:hAnsi="Arial" w:cs="Arial"/>
                <w:sz w:val="24"/>
                <w:szCs w:val="24"/>
                <w:lang w:eastAsia="en-ZA"/>
              </w:rPr>
            </w:pPr>
            <w:r w:rsidRPr="00940D9C">
              <w:rPr>
                <w:rFonts w:ascii="Arial" w:hAnsi="Arial" w:cs="Arial"/>
                <w:sz w:val="24"/>
                <w:szCs w:val="24"/>
                <w:lang w:eastAsia="en-ZA"/>
              </w:rPr>
              <w:t>OGA Embargo Release</w:t>
            </w:r>
          </w:p>
        </w:tc>
      </w:tr>
      <w:tr w:rsidR="004A1B8B" w:rsidRPr="00940D9C" w14:paraId="5854382E" w14:textId="77777777" w:rsidTr="00C51F64">
        <w:tc>
          <w:tcPr>
            <w:tcW w:w="1101" w:type="dxa"/>
          </w:tcPr>
          <w:p w14:paraId="2712B490" w14:textId="2FF9C563" w:rsidR="002B2085" w:rsidRPr="00940D9C" w:rsidRDefault="002B2085" w:rsidP="00F4709A">
            <w:pPr>
              <w:jc w:val="both"/>
              <w:rPr>
                <w:rFonts w:ascii="Arial" w:hAnsi="Arial" w:cs="Arial"/>
                <w:sz w:val="24"/>
                <w:szCs w:val="24"/>
                <w:lang w:eastAsia="en-ZA"/>
              </w:rPr>
            </w:pPr>
            <w:r w:rsidRPr="00940D9C">
              <w:rPr>
                <w:rFonts w:ascii="Arial" w:hAnsi="Arial" w:cs="Arial"/>
                <w:sz w:val="24"/>
                <w:szCs w:val="24"/>
                <w:lang w:eastAsia="en-ZA"/>
              </w:rPr>
              <w:t>79</w:t>
            </w:r>
          </w:p>
        </w:tc>
        <w:tc>
          <w:tcPr>
            <w:tcW w:w="8141" w:type="dxa"/>
          </w:tcPr>
          <w:p w14:paraId="13A5BD1A" w14:textId="12737127" w:rsidR="002B2085" w:rsidRPr="00940D9C" w:rsidRDefault="002B2085" w:rsidP="00F4709A">
            <w:pPr>
              <w:jc w:val="both"/>
              <w:rPr>
                <w:rFonts w:ascii="Arial" w:hAnsi="Arial" w:cs="Arial"/>
                <w:sz w:val="24"/>
                <w:szCs w:val="24"/>
                <w:lang w:eastAsia="en-ZA"/>
              </w:rPr>
            </w:pPr>
            <w:r w:rsidRPr="00940D9C">
              <w:rPr>
                <w:rFonts w:ascii="Arial" w:hAnsi="Arial" w:cs="Arial"/>
                <w:sz w:val="24"/>
                <w:szCs w:val="24"/>
                <w:lang w:eastAsia="en-ZA"/>
              </w:rPr>
              <w:t>OGA Discard Adjustment</w:t>
            </w:r>
          </w:p>
        </w:tc>
      </w:tr>
      <w:tr w:rsidR="004A1B8B" w:rsidRPr="00940D9C" w14:paraId="6A40D7CD" w14:textId="77777777" w:rsidTr="00C51F64">
        <w:tc>
          <w:tcPr>
            <w:tcW w:w="1101" w:type="dxa"/>
          </w:tcPr>
          <w:p w14:paraId="78705CC4" w14:textId="29E89D72" w:rsidR="002B2085" w:rsidRPr="00940D9C" w:rsidRDefault="002B2085" w:rsidP="00F4709A">
            <w:pPr>
              <w:jc w:val="both"/>
              <w:rPr>
                <w:rFonts w:ascii="Arial" w:hAnsi="Arial" w:cs="Arial"/>
                <w:sz w:val="24"/>
                <w:szCs w:val="24"/>
                <w:lang w:eastAsia="en-ZA"/>
              </w:rPr>
            </w:pPr>
            <w:r w:rsidRPr="00940D9C">
              <w:rPr>
                <w:rFonts w:ascii="Arial" w:hAnsi="Arial" w:cs="Arial"/>
                <w:sz w:val="24"/>
                <w:szCs w:val="24"/>
                <w:lang w:eastAsia="en-ZA"/>
              </w:rPr>
              <w:t>80</w:t>
            </w:r>
          </w:p>
        </w:tc>
        <w:tc>
          <w:tcPr>
            <w:tcW w:w="8141" w:type="dxa"/>
          </w:tcPr>
          <w:p w14:paraId="09A3C172" w14:textId="71F04890" w:rsidR="002B2085" w:rsidRPr="00940D9C" w:rsidRDefault="002B2085" w:rsidP="00F4709A">
            <w:pPr>
              <w:jc w:val="both"/>
              <w:rPr>
                <w:rFonts w:ascii="Arial" w:hAnsi="Arial" w:cs="Arial"/>
                <w:sz w:val="24"/>
                <w:szCs w:val="24"/>
                <w:lang w:eastAsia="en-ZA"/>
              </w:rPr>
            </w:pPr>
            <w:r w:rsidRPr="00940D9C">
              <w:rPr>
                <w:rFonts w:ascii="Arial" w:hAnsi="Arial" w:cs="Arial"/>
                <w:sz w:val="24"/>
                <w:szCs w:val="24"/>
                <w:lang w:eastAsia="en-ZA"/>
              </w:rPr>
              <w:t>OGA Child Case Closure</w:t>
            </w:r>
          </w:p>
        </w:tc>
      </w:tr>
    </w:tbl>
    <w:p w14:paraId="0C328813" w14:textId="77777777" w:rsidR="0034708B" w:rsidRPr="00940D9C" w:rsidRDefault="0034708B" w:rsidP="00F4709A">
      <w:pPr>
        <w:jc w:val="both"/>
        <w:rPr>
          <w:rFonts w:ascii="Arial" w:hAnsi="Arial" w:cs="Arial"/>
          <w:sz w:val="24"/>
          <w:szCs w:val="24"/>
        </w:rPr>
      </w:pPr>
    </w:p>
    <w:p w14:paraId="0A467B4A" w14:textId="12287D58" w:rsidR="009F05F5" w:rsidRPr="00940D9C" w:rsidRDefault="009F05F5" w:rsidP="00F4709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40D9C">
        <w:rPr>
          <w:rFonts w:ascii="Arial" w:hAnsi="Arial" w:cs="Arial"/>
          <w:b/>
          <w:bCs/>
          <w:sz w:val="24"/>
          <w:szCs w:val="24"/>
        </w:rPr>
        <w:t>Q. What is the impact on the inspection booking process?</w:t>
      </w:r>
    </w:p>
    <w:p w14:paraId="361F0E02" w14:textId="4ADEAFF2" w:rsidR="009F05F5" w:rsidRPr="00940D9C" w:rsidRDefault="009F05F5" w:rsidP="00F4709A">
      <w:pPr>
        <w:jc w:val="both"/>
        <w:rPr>
          <w:rFonts w:ascii="Arial" w:hAnsi="Arial" w:cs="Arial"/>
          <w:sz w:val="24"/>
          <w:szCs w:val="24"/>
        </w:rPr>
      </w:pPr>
      <w:r w:rsidRPr="00940D9C">
        <w:rPr>
          <w:rFonts w:ascii="Arial" w:hAnsi="Arial" w:cs="Arial"/>
          <w:sz w:val="24"/>
          <w:szCs w:val="24"/>
        </w:rPr>
        <w:t>A</w:t>
      </w:r>
      <w:r w:rsidRPr="00940D9C">
        <w:rPr>
          <w:rFonts w:ascii="Arial" w:hAnsi="Arial" w:cs="Arial"/>
          <w:b/>
          <w:bCs/>
          <w:sz w:val="24"/>
          <w:szCs w:val="24"/>
        </w:rPr>
        <w:t xml:space="preserve">. For the </w:t>
      </w:r>
      <w:r w:rsidR="00EE5285" w:rsidRPr="00940D9C">
        <w:rPr>
          <w:rFonts w:ascii="Arial" w:hAnsi="Arial" w:cs="Arial"/>
          <w:b/>
          <w:bCs/>
          <w:sz w:val="24"/>
          <w:szCs w:val="24"/>
        </w:rPr>
        <w:t>1st</w:t>
      </w:r>
      <w:r w:rsidRPr="00940D9C">
        <w:rPr>
          <w:rFonts w:ascii="Arial" w:hAnsi="Arial" w:cs="Arial"/>
          <w:b/>
          <w:bCs/>
          <w:sz w:val="24"/>
          <w:szCs w:val="24"/>
        </w:rPr>
        <w:t xml:space="preserve"> phase</w:t>
      </w:r>
      <w:r w:rsidRPr="00940D9C">
        <w:rPr>
          <w:rFonts w:ascii="Arial" w:hAnsi="Arial" w:cs="Arial"/>
          <w:sz w:val="24"/>
          <w:szCs w:val="24"/>
        </w:rPr>
        <w:t xml:space="preserve">, the </w:t>
      </w:r>
      <w:r w:rsidR="00495FBF" w:rsidRPr="00940D9C">
        <w:rPr>
          <w:rFonts w:ascii="Arial" w:hAnsi="Arial" w:cs="Arial"/>
          <w:sz w:val="24"/>
          <w:szCs w:val="24"/>
        </w:rPr>
        <w:t xml:space="preserve">onus </w:t>
      </w:r>
      <w:r w:rsidRPr="00940D9C">
        <w:rPr>
          <w:rFonts w:ascii="Arial" w:hAnsi="Arial" w:cs="Arial"/>
          <w:sz w:val="24"/>
          <w:szCs w:val="24"/>
        </w:rPr>
        <w:t xml:space="preserve">will be on the trader to find common times between the applicable government agencies to facilitate a joint inspection event or process. However, in the subsequent phase, the idea of a </w:t>
      </w:r>
      <w:r w:rsidR="00EE5285" w:rsidRPr="00940D9C">
        <w:rPr>
          <w:rFonts w:ascii="Arial" w:hAnsi="Arial" w:cs="Arial"/>
          <w:sz w:val="24"/>
          <w:szCs w:val="24"/>
        </w:rPr>
        <w:t>joint</w:t>
      </w:r>
      <w:r w:rsidRPr="00940D9C">
        <w:rPr>
          <w:rFonts w:ascii="Arial" w:hAnsi="Arial" w:cs="Arial"/>
          <w:sz w:val="24"/>
          <w:szCs w:val="24"/>
        </w:rPr>
        <w:t xml:space="preserve"> and electronic inspection booking functionality is envisaged</w:t>
      </w:r>
      <w:r w:rsidR="00EE5285" w:rsidRPr="00940D9C">
        <w:rPr>
          <w:rFonts w:ascii="Arial" w:hAnsi="Arial" w:cs="Arial"/>
          <w:sz w:val="24"/>
          <w:szCs w:val="24"/>
        </w:rPr>
        <w:t xml:space="preserve">. </w:t>
      </w:r>
    </w:p>
    <w:p w14:paraId="4BA4D014" w14:textId="7FFEACDA" w:rsidR="00A94A8F" w:rsidRPr="00940D9C" w:rsidRDefault="00A94A8F" w:rsidP="00A94A8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40D9C">
        <w:rPr>
          <w:rFonts w:ascii="Arial" w:hAnsi="Arial" w:cs="Arial"/>
          <w:b/>
          <w:bCs/>
          <w:sz w:val="24"/>
          <w:szCs w:val="24"/>
        </w:rPr>
        <w:t>Q. How will the pilot participants be selected and how soon will they be notified of their participation?</w:t>
      </w:r>
    </w:p>
    <w:p w14:paraId="0E7B45E7" w14:textId="5C10B240" w:rsidR="00A94A8F" w:rsidRPr="00940D9C" w:rsidRDefault="00A94A8F" w:rsidP="00A94A8F">
      <w:pPr>
        <w:jc w:val="both"/>
        <w:rPr>
          <w:rFonts w:ascii="Arial" w:hAnsi="Arial" w:cs="Arial"/>
          <w:sz w:val="24"/>
          <w:szCs w:val="24"/>
        </w:rPr>
      </w:pPr>
      <w:r w:rsidRPr="00940D9C">
        <w:rPr>
          <w:rFonts w:ascii="Arial" w:hAnsi="Arial" w:cs="Arial"/>
          <w:sz w:val="24"/>
          <w:szCs w:val="24"/>
        </w:rPr>
        <w:t>A. The process for selecting the pilot participants has been completed.</w:t>
      </w:r>
      <w:r w:rsidR="00121F3B" w:rsidRPr="00940D9C">
        <w:rPr>
          <w:rFonts w:ascii="Arial" w:hAnsi="Arial" w:cs="Arial"/>
          <w:sz w:val="24"/>
          <w:szCs w:val="24"/>
        </w:rPr>
        <w:t xml:space="preserve"> The idea is to </w:t>
      </w:r>
      <w:r w:rsidR="005556FE" w:rsidRPr="00940D9C">
        <w:rPr>
          <w:rFonts w:ascii="Arial" w:hAnsi="Arial" w:cs="Arial"/>
          <w:sz w:val="24"/>
          <w:szCs w:val="24"/>
        </w:rPr>
        <w:t xml:space="preserve">gradually </w:t>
      </w:r>
      <w:r w:rsidR="00121F3B" w:rsidRPr="00940D9C">
        <w:rPr>
          <w:rFonts w:ascii="Arial" w:hAnsi="Arial" w:cs="Arial"/>
          <w:sz w:val="24"/>
          <w:szCs w:val="24"/>
        </w:rPr>
        <w:t>onboard more traders as the process stabili</w:t>
      </w:r>
      <w:r w:rsidR="00495FBF" w:rsidRPr="00940D9C">
        <w:rPr>
          <w:rFonts w:ascii="Arial" w:hAnsi="Arial" w:cs="Arial"/>
          <w:sz w:val="24"/>
          <w:szCs w:val="24"/>
        </w:rPr>
        <w:t>s</w:t>
      </w:r>
      <w:r w:rsidR="00121F3B" w:rsidRPr="00940D9C">
        <w:rPr>
          <w:rFonts w:ascii="Arial" w:hAnsi="Arial" w:cs="Arial"/>
          <w:sz w:val="24"/>
          <w:szCs w:val="24"/>
        </w:rPr>
        <w:t>es.</w:t>
      </w:r>
    </w:p>
    <w:p w14:paraId="128F3DC9" w14:textId="5C3EF2CB" w:rsidR="00EF3BE4" w:rsidRPr="00940D9C" w:rsidRDefault="00EF3BE4" w:rsidP="00F4709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40D9C">
        <w:rPr>
          <w:rFonts w:ascii="Arial" w:hAnsi="Arial" w:cs="Arial"/>
          <w:b/>
          <w:bCs/>
          <w:sz w:val="24"/>
          <w:szCs w:val="24"/>
        </w:rPr>
        <w:t xml:space="preserve">Q. Will legal and policy aspect of the </w:t>
      </w:r>
      <w:r w:rsidR="00A94A8F" w:rsidRPr="00940D9C">
        <w:rPr>
          <w:rFonts w:ascii="Arial" w:hAnsi="Arial" w:cs="Arial"/>
          <w:b/>
          <w:bCs/>
          <w:sz w:val="24"/>
          <w:szCs w:val="24"/>
        </w:rPr>
        <w:t>inspection</w:t>
      </w:r>
      <w:r w:rsidRPr="00940D9C">
        <w:rPr>
          <w:rFonts w:ascii="Arial" w:hAnsi="Arial" w:cs="Arial"/>
          <w:b/>
          <w:bCs/>
          <w:sz w:val="24"/>
          <w:szCs w:val="24"/>
        </w:rPr>
        <w:t xml:space="preserve"> be updated in line with this new process?</w:t>
      </w:r>
    </w:p>
    <w:p w14:paraId="446DC26F" w14:textId="07932B34" w:rsidR="002862CB" w:rsidRDefault="00EF3BE4" w:rsidP="00F4709A">
      <w:pPr>
        <w:jc w:val="both"/>
        <w:rPr>
          <w:rFonts w:ascii="Arial" w:hAnsi="Arial" w:cs="Arial"/>
          <w:sz w:val="24"/>
          <w:szCs w:val="24"/>
        </w:rPr>
      </w:pPr>
      <w:r w:rsidRPr="00940D9C">
        <w:rPr>
          <w:rFonts w:ascii="Arial" w:hAnsi="Arial" w:cs="Arial"/>
          <w:sz w:val="24"/>
          <w:szCs w:val="24"/>
        </w:rPr>
        <w:t xml:space="preserve">A. The relevant policies </w:t>
      </w:r>
      <w:r w:rsidR="00495FBF" w:rsidRPr="00940D9C">
        <w:rPr>
          <w:rFonts w:ascii="Arial" w:hAnsi="Arial" w:cs="Arial"/>
          <w:sz w:val="24"/>
          <w:szCs w:val="24"/>
        </w:rPr>
        <w:t>and</w:t>
      </w:r>
      <w:r w:rsidRPr="00940D9C">
        <w:rPr>
          <w:rFonts w:ascii="Arial" w:hAnsi="Arial" w:cs="Arial"/>
          <w:sz w:val="24"/>
          <w:szCs w:val="24"/>
        </w:rPr>
        <w:t xml:space="preserve"> standard operating procedures </w:t>
      </w:r>
      <w:r w:rsidR="00EE5285" w:rsidRPr="00940D9C">
        <w:rPr>
          <w:rFonts w:ascii="Arial" w:hAnsi="Arial" w:cs="Arial"/>
          <w:sz w:val="24"/>
          <w:szCs w:val="24"/>
        </w:rPr>
        <w:t>have been</w:t>
      </w:r>
      <w:r w:rsidRPr="00940D9C">
        <w:rPr>
          <w:rFonts w:ascii="Arial" w:hAnsi="Arial" w:cs="Arial"/>
          <w:sz w:val="24"/>
          <w:szCs w:val="24"/>
        </w:rPr>
        <w:t xml:space="preserve"> amended and updated accordingly</w:t>
      </w:r>
      <w:r w:rsidR="00EE5285" w:rsidRPr="00940D9C">
        <w:rPr>
          <w:rFonts w:ascii="Arial" w:hAnsi="Arial" w:cs="Arial"/>
          <w:sz w:val="24"/>
          <w:szCs w:val="24"/>
        </w:rPr>
        <w:t xml:space="preserve">. </w:t>
      </w:r>
    </w:p>
    <w:p w14:paraId="4016859A" w14:textId="77777777" w:rsidR="00940D9C" w:rsidRPr="00940D9C" w:rsidRDefault="00940D9C" w:rsidP="00F4709A">
      <w:pPr>
        <w:jc w:val="both"/>
        <w:rPr>
          <w:rFonts w:ascii="Arial" w:hAnsi="Arial" w:cs="Arial"/>
          <w:sz w:val="24"/>
          <w:szCs w:val="24"/>
        </w:rPr>
      </w:pPr>
    </w:p>
    <w:p w14:paraId="6DC298F9" w14:textId="4A963F1A" w:rsidR="005556FE" w:rsidRPr="00940D9C" w:rsidRDefault="005556FE" w:rsidP="00F4709A">
      <w:pPr>
        <w:jc w:val="both"/>
        <w:rPr>
          <w:rStyle w:val="Heading2Char"/>
          <w:rFonts w:ascii="Arial" w:hAnsi="Arial" w:cs="Arial"/>
          <w:b/>
          <w:bCs/>
          <w:sz w:val="24"/>
          <w:szCs w:val="24"/>
        </w:rPr>
      </w:pPr>
      <w:r w:rsidRPr="00940D9C">
        <w:rPr>
          <w:rFonts w:ascii="Arial" w:hAnsi="Arial" w:cs="Arial"/>
          <w:b/>
          <w:bCs/>
          <w:sz w:val="24"/>
          <w:szCs w:val="24"/>
        </w:rPr>
        <w:lastRenderedPageBreak/>
        <w:t>Q. What is the next phase of the project?</w:t>
      </w:r>
    </w:p>
    <w:p w14:paraId="35BC3C20" w14:textId="28FA0FB0" w:rsidR="00602445" w:rsidRPr="00940D9C" w:rsidRDefault="005556FE" w:rsidP="00602445">
      <w:pPr>
        <w:jc w:val="both"/>
        <w:rPr>
          <w:rFonts w:ascii="Arial" w:hAnsi="Arial" w:cs="Arial"/>
          <w:sz w:val="24"/>
          <w:szCs w:val="24"/>
        </w:rPr>
      </w:pPr>
      <w:r w:rsidRPr="00940D9C">
        <w:rPr>
          <w:rFonts w:ascii="Arial" w:hAnsi="Arial" w:cs="Arial"/>
          <w:sz w:val="24"/>
          <w:szCs w:val="24"/>
        </w:rPr>
        <w:t>A.</w:t>
      </w:r>
      <w:r w:rsidR="0050638A" w:rsidRPr="00940D9C">
        <w:rPr>
          <w:rFonts w:ascii="Arial" w:hAnsi="Arial" w:cs="Arial"/>
          <w:sz w:val="24"/>
          <w:szCs w:val="24"/>
        </w:rPr>
        <w:t xml:space="preserve"> Enhancement of</w:t>
      </w:r>
      <w:r w:rsidR="00EE5285" w:rsidRPr="00940D9C">
        <w:rPr>
          <w:rFonts w:ascii="Arial" w:hAnsi="Arial" w:cs="Arial"/>
          <w:sz w:val="24"/>
          <w:szCs w:val="24"/>
        </w:rPr>
        <w:t xml:space="preserve"> the</w:t>
      </w:r>
      <w:r w:rsidR="008974C5" w:rsidRPr="00940D9C">
        <w:rPr>
          <w:rFonts w:ascii="Arial" w:hAnsi="Arial" w:cs="Arial"/>
          <w:sz w:val="24"/>
          <w:szCs w:val="24"/>
        </w:rPr>
        <w:t>, but not limited to the</w:t>
      </w:r>
      <w:r w:rsidR="0050638A" w:rsidRPr="00940D9C">
        <w:rPr>
          <w:rFonts w:ascii="Arial" w:hAnsi="Arial" w:cs="Arial"/>
          <w:sz w:val="24"/>
          <w:szCs w:val="24"/>
        </w:rPr>
        <w:t xml:space="preserve"> </w:t>
      </w:r>
      <w:r w:rsidR="00602445" w:rsidRPr="00940D9C">
        <w:rPr>
          <w:rFonts w:ascii="Arial" w:hAnsi="Arial" w:cs="Arial"/>
          <w:sz w:val="24"/>
          <w:szCs w:val="24"/>
        </w:rPr>
        <w:t>following</w:t>
      </w:r>
      <w:r w:rsidR="00EE5285" w:rsidRPr="00940D9C">
        <w:rPr>
          <w:rFonts w:ascii="Arial" w:hAnsi="Arial" w:cs="Arial"/>
          <w:sz w:val="24"/>
          <w:szCs w:val="24"/>
        </w:rPr>
        <w:t>:</w:t>
      </w:r>
    </w:p>
    <w:p w14:paraId="4A460342" w14:textId="164316A6" w:rsidR="0050638A" w:rsidRPr="00940D9C" w:rsidRDefault="00495FBF" w:rsidP="005063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40D9C">
        <w:rPr>
          <w:rFonts w:ascii="Arial" w:hAnsi="Arial" w:cs="Arial"/>
          <w:sz w:val="24"/>
          <w:szCs w:val="24"/>
        </w:rPr>
        <w:t>P</w:t>
      </w:r>
      <w:r w:rsidR="0050638A" w:rsidRPr="00940D9C">
        <w:rPr>
          <w:rFonts w:ascii="Arial" w:hAnsi="Arial" w:cs="Arial"/>
          <w:sz w:val="24"/>
          <w:szCs w:val="24"/>
        </w:rPr>
        <w:t>hase 1</w:t>
      </w:r>
      <w:r w:rsidR="00602445" w:rsidRPr="00940D9C">
        <w:rPr>
          <w:rFonts w:ascii="Arial" w:hAnsi="Arial" w:cs="Arial"/>
          <w:sz w:val="24"/>
          <w:szCs w:val="24"/>
        </w:rPr>
        <w:t xml:space="preserve"> (inspection process)</w:t>
      </w:r>
    </w:p>
    <w:p w14:paraId="735F95E2" w14:textId="3493BEB3" w:rsidR="00602445" w:rsidRPr="00940D9C" w:rsidRDefault="00495FBF" w:rsidP="005063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40D9C">
        <w:rPr>
          <w:rFonts w:ascii="Arial" w:hAnsi="Arial" w:cs="Arial"/>
          <w:sz w:val="24"/>
          <w:szCs w:val="24"/>
        </w:rPr>
        <w:t>S</w:t>
      </w:r>
      <w:r w:rsidR="00602445" w:rsidRPr="00940D9C">
        <w:rPr>
          <w:rFonts w:ascii="Arial" w:hAnsi="Arial" w:cs="Arial"/>
          <w:sz w:val="24"/>
          <w:szCs w:val="24"/>
        </w:rPr>
        <w:t xml:space="preserve">ubmission of various cargo reports, </w:t>
      </w:r>
      <w:r w:rsidR="00126F42" w:rsidRPr="00940D9C">
        <w:rPr>
          <w:rFonts w:ascii="Arial" w:hAnsi="Arial" w:cs="Arial"/>
          <w:sz w:val="24"/>
          <w:szCs w:val="24"/>
        </w:rPr>
        <w:t>e.g.,</w:t>
      </w:r>
      <w:r w:rsidR="00602445" w:rsidRPr="00940D9C">
        <w:rPr>
          <w:rFonts w:ascii="Arial" w:hAnsi="Arial" w:cs="Arial"/>
          <w:sz w:val="24"/>
          <w:szCs w:val="24"/>
        </w:rPr>
        <w:t xml:space="preserve"> pre-arrival, cargo (manifest)</w:t>
      </w:r>
    </w:p>
    <w:p w14:paraId="6BE48676" w14:textId="7A6E346B" w:rsidR="005556FE" w:rsidRPr="00940D9C" w:rsidRDefault="00495FBF" w:rsidP="005063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40D9C">
        <w:rPr>
          <w:rFonts w:ascii="Arial" w:hAnsi="Arial" w:cs="Arial"/>
          <w:sz w:val="24"/>
          <w:szCs w:val="24"/>
        </w:rPr>
        <w:t>P</w:t>
      </w:r>
      <w:r w:rsidR="005556FE" w:rsidRPr="00940D9C">
        <w:rPr>
          <w:rFonts w:ascii="Arial" w:hAnsi="Arial" w:cs="Arial"/>
          <w:sz w:val="24"/>
          <w:szCs w:val="24"/>
        </w:rPr>
        <w:t xml:space="preserve">rohibited and restricted (P&amp;R) </w:t>
      </w:r>
      <w:r w:rsidR="0050638A" w:rsidRPr="00940D9C">
        <w:rPr>
          <w:rFonts w:ascii="Arial" w:hAnsi="Arial" w:cs="Arial"/>
          <w:sz w:val="24"/>
          <w:szCs w:val="24"/>
        </w:rPr>
        <w:t>goods process</w:t>
      </w:r>
    </w:p>
    <w:p w14:paraId="4BAA6813" w14:textId="70DDF11E" w:rsidR="0050638A" w:rsidRPr="00940D9C" w:rsidRDefault="00495FBF" w:rsidP="005063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40D9C">
        <w:rPr>
          <w:rFonts w:ascii="Arial" w:hAnsi="Arial" w:cs="Arial"/>
          <w:sz w:val="24"/>
          <w:szCs w:val="24"/>
        </w:rPr>
        <w:t>T</w:t>
      </w:r>
      <w:r w:rsidR="0050638A" w:rsidRPr="00940D9C">
        <w:rPr>
          <w:rFonts w:ascii="Arial" w:hAnsi="Arial" w:cs="Arial"/>
          <w:sz w:val="24"/>
          <w:szCs w:val="24"/>
        </w:rPr>
        <w:t>rade permit and certification process</w:t>
      </w:r>
    </w:p>
    <w:p w14:paraId="537EF31D" w14:textId="3A56BF2B" w:rsidR="002862CB" w:rsidRPr="00940D9C" w:rsidRDefault="002862CB" w:rsidP="00F4709A">
      <w:pPr>
        <w:jc w:val="both"/>
        <w:rPr>
          <w:rFonts w:ascii="Arial" w:hAnsi="Arial" w:cs="Arial"/>
          <w:sz w:val="24"/>
          <w:szCs w:val="24"/>
        </w:rPr>
      </w:pPr>
    </w:p>
    <w:p w14:paraId="614C35C2" w14:textId="77777777" w:rsidR="004C1165" w:rsidRPr="00940D9C" w:rsidRDefault="00EE688D" w:rsidP="00F4709A">
      <w:pPr>
        <w:jc w:val="both"/>
        <w:rPr>
          <w:rFonts w:ascii="Arial" w:hAnsi="Arial" w:cs="Arial"/>
          <w:sz w:val="24"/>
          <w:szCs w:val="24"/>
        </w:rPr>
      </w:pPr>
      <w:r w:rsidRPr="00940D9C">
        <w:rPr>
          <w:rFonts w:ascii="Arial" w:hAnsi="Arial" w:cs="Arial"/>
          <w:sz w:val="24"/>
          <w:szCs w:val="24"/>
        </w:rPr>
        <w:t xml:space="preserve"> </w:t>
      </w:r>
    </w:p>
    <w:p w14:paraId="5F20B831" w14:textId="6FD88AA8" w:rsidR="00EE688D" w:rsidRPr="00940D9C" w:rsidRDefault="00F16CCA" w:rsidP="00F4709A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40D9C">
        <w:rPr>
          <w:rFonts w:ascii="Arial" w:hAnsi="Arial" w:cs="Arial"/>
          <w:b/>
          <w:bCs/>
          <w:color w:val="000000" w:themeColor="text1"/>
          <w:sz w:val="24"/>
          <w:szCs w:val="24"/>
        </w:rPr>
        <w:t>For queries:</w:t>
      </w:r>
    </w:p>
    <w:p w14:paraId="363975CB" w14:textId="77777777" w:rsidR="004A38F3" w:rsidRPr="00940D9C" w:rsidRDefault="004A38F3" w:rsidP="00F4709A">
      <w:pPr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550"/>
        <w:gridCol w:w="2652"/>
        <w:gridCol w:w="2325"/>
        <w:gridCol w:w="3115"/>
      </w:tblGrid>
      <w:tr w:rsidR="00C51982" w:rsidRPr="00940D9C" w14:paraId="4D0F90AA" w14:textId="3DF984E3" w:rsidTr="00120A7F">
        <w:trPr>
          <w:trHeight w:val="260"/>
        </w:trPr>
        <w:tc>
          <w:tcPr>
            <w:tcW w:w="550" w:type="dxa"/>
            <w:shd w:val="clear" w:color="auto" w:fill="8EAADB" w:themeFill="accent1" w:themeFillTint="99"/>
          </w:tcPr>
          <w:p w14:paraId="38742A32" w14:textId="071C1494" w:rsidR="00C51982" w:rsidRPr="00940D9C" w:rsidRDefault="00C51982" w:rsidP="00F4709A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940D9C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652" w:type="dxa"/>
            <w:shd w:val="clear" w:color="auto" w:fill="8EAADB" w:themeFill="accent1" w:themeFillTint="99"/>
          </w:tcPr>
          <w:p w14:paraId="5B8382B3" w14:textId="0F569DAA" w:rsidR="00C51982" w:rsidRPr="00940D9C" w:rsidRDefault="00C51982" w:rsidP="00F4709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0D9C">
              <w:rPr>
                <w:rFonts w:ascii="Arial" w:hAnsi="Arial" w:cs="Arial"/>
                <w:b/>
                <w:bCs/>
                <w:sz w:val="24"/>
                <w:szCs w:val="24"/>
              </w:rPr>
              <w:t>Names and Surname</w:t>
            </w:r>
          </w:p>
        </w:tc>
        <w:tc>
          <w:tcPr>
            <w:tcW w:w="2325" w:type="dxa"/>
            <w:shd w:val="clear" w:color="auto" w:fill="8EAADB" w:themeFill="accent1" w:themeFillTint="99"/>
          </w:tcPr>
          <w:p w14:paraId="5F39F241" w14:textId="4520A1E8" w:rsidR="00C51982" w:rsidRPr="00940D9C" w:rsidRDefault="00C51982" w:rsidP="00F4709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0D9C">
              <w:rPr>
                <w:rFonts w:ascii="Arial" w:hAnsi="Arial" w:cs="Arial"/>
                <w:b/>
                <w:bCs/>
                <w:sz w:val="24"/>
                <w:szCs w:val="24"/>
              </w:rPr>
              <w:t>Port</w:t>
            </w:r>
          </w:p>
        </w:tc>
        <w:tc>
          <w:tcPr>
            <w:tcW w:w="3115" w:type="dxa"/>
            <w:shd w:val="clear" w:color="auto" w:fill="8EAADB" w:themeFill="accent1" w:themeFillTint="99"/>
          </w:tcPr>
          <w:p w14:paraId="286BD980" w14:textId="28A08007" w:rsidR="00C51982" w:rsidRPr="00940D9C" w:rsidRDefault="00C51982" w:rsidP="00F4709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0D9C">
              <w:rPr>
                <w:rFonts w:ascii="Arial" w:hAnsi="Arial" w:cs="Arial"/>
                <w:b/>
                <w:bCs/>
                <w:sz w:val="24"/>
                <w:szCs w:val="24"/>
              </w:rPr>
              <w:t>Email address</w:t>
            </w:r>
          </w:p>
        </w:tc>
      </w:tr>
      <w:tr w:rsidR="00C51982" w:rsidRPr="00940D9C" w14:paraId="511D724E" w14:textId="4C83BF98" w:rsidTr="00120A7F">
        <w:trPr>
          <w:trHeight w:val="260"/>
        </w:trPr>
        <w:tc>
          <w:tcPr>
            <w:tcW w:w="550" w:type="dxa"/>
          </w:tcPr>
          <w:p w14:paraId="692D968F" w14:textId="18BE993E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01.</w:t>
            </w:r>
          </w:p>
        </w:tc>
        <w:tc>
          <w:tcPr>
            <w:tcW w:w="2652" w:type="dxa"/>
          </w:tcPr>
          <w:p w14:paraId="14F5CCC2" w14:textId="3FD19206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 xml:space="preserve">Alvin </w:t>
            </w:r>
            <w:proofErr w:type="spellStart"/>
            <w:r w:rsidRPr="00940D9C">
              <w:rPr>
                <w:rFonts w:ascii="Arial" w:hAnsi="Arial" w:cs="Arial"/>
                <w:sz w:val="24"/>
                <w:szCs w:val="24"/>
              </w:rPr>
              <w:t>Ramkelawon</w:t>
            </w:r>
            <w:proofErr w:type="spellEnd"/>
          </w:p>
        </w:tc>
        <w:tc>
          <w:tcPr>
            <w:tcW w:w="2325" w:type="dxa"/>
          </w:tcPr>
          <w:p w14:paraId="34BCFC07" w14:textId="7DAD8451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Durban Harbour</w:t>
            </w:r>
          </w:p>
        </w:tc>
        <w:tc>
          <w:tcPr>
            <w:tcW w:w="3115" w:type="dxa"/>
          </w:tcPr>
          <w:p w14:paraId="7559F79E" w14:textId="5B2491DF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aramkelawon@sars.gov.za</w:t>
            </w:r>
          </w:p>
        </w:tc>
      </w:tr>
      <w:tr w:rsidR="00C51982" w:rsidRPr="00940D9C" w14:paraId="59034756" w14:textId="177D5A98" w:rsidTr="00120A7F">
        <w:trPr>
          <w:trHeight w:val="272"/>
        </w:trPr>
        <w:tc>
          <w:tcPr>
            <w:tcW w:w="550" w:type="dxa"/>
          </w:tcPr>
          <w:p w14:paraId="71B70B66" w14:textId="4F3754D7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02.</w:t>
            </w:r>
          </w:p>
        </w:tc>
        <w:tc>
          <w:tcPr>
            <w:tcW w:w="2652" w:type="dxa"/>
          </w:tcPr>
          <w:p w14:paraId="163D4BEE" w14:textId="369F0240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Marie Kiss</w:t>
            </w:r>
          </w:p>
        </w:tc>
        <w:tc>
          <w:tcPr>
            <w:tcW w:w="2325" w:type="dxa"/>
          </w:tcPr>
          <w:p w14:paraId="4896B750" w14:textId="0EB3934F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Richards Bay Harbour</w:t>
            </w:r>
          </w:p>
        </w:tc>
        <w:tc>
          <w:tcPr>
            <w:tcW w:w="3115" w:type="dxa"/>
          </w:tcPr>
          <w:p w14:paraId="3F0925CD" w14:textId="46DBB355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mkiss@sars.gov.za</w:t>
            </w:r>
          </w:p>
        </w:tc>
      </w:tr>
      <w:tr w:rsidR="00C51982" w:rsidRPr="00940D9C" w14:paraId="53C77E42" w14:textId="5CFC063C" w:rsidTr="00120A7F">
        <w:trPr>
          <w:trHeight w:val="260"/>
        </w:trPr>
        <w:tc>
          <w:tcPr>
            <w:tcW w:w="550" w:type="dxa"/>
          </w:tcPr>
          <w:p w14:paraId="6DD48ED3" w14:textId="6E415B3F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2652" w:type="dxa"/>
          </w:tcPr>
          <w:p w14:paraId="0E7813AA" w14:textId="75C6C1FB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Esmeralda Markus</w:t>
            </w:r>
          </w:p>
        </w:tc>
        <w:tc>
          <w:tcPr>
            <w:tcW w:w="2325" w:type="dxa"/>
          </w:tcPr>
          <w:p w14:paraId="2F972086" w14:textId="54D25E9D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Cape Town Harbour</w:t>
            </w:r>
          </w:p>
        </w:tc>
        <w:tc>
          <w:tcPr>
            <w:tcW w:w="3115" w:type="dxa"/>
          </w:tcPr>
          <w:p w14:paraId="4B8800B1" w14:textId="28EC76F1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emarkus@sars.gov.za</w:t>
            </w:r>
          </w:p>
        </w:tc>
      </w:tr>
      <w:tr w:rsidR="00C51982" w:rsidRPr="00940D9C" w14:paraId="3D609D35" w14:textId="3B8F586C" w:rsidTr="00120A7F">
        <w:trPr>
          <w:trHeight w:val="260"/>
        </w:trPr>
        <w:tc>
          <w:tcPr>
            <w:tcW w:w="550" w:type="dxa"/>
          </w:tcPr>
          <w:p w14:paraId="2743920E" w14:textId="259BD3EC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04.</w:t>
            </w:r>
          </w:p>
        </w:tc>
        <w:tc>
          <w:tcPr>
            <w:tcW w:w="2652" w:type="dxa"/>
          </w:tcPr>
          <w:p w14:paraId="6646E206" w14:textId="44C3BE18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 xml:space="preserve">Marius </w:t>
            </w:r>
            <w:proofErr w:type="spellStart"/>
            <w:r w:rsidRPr="00940D9C">
              <w:rPr>
                <w:rFonts w:ascii="Arial" w:hAnsi="Arial" w:cs="Arial"/>
                <w:sz w:val="24"/>
                <w:szCs w:val="24"/>
              </w:rPr>
              <w:t>Thiart</w:t>
            </w:r>
            <w:proofErr w:type="spellEnd"/>
          </w:p>
        </w:tc>
        <w:tc>
          <w:tcPr>
            <w:tcW w:w="2325" w:type="dxa"/>
          </w:tcPr>
          <w:p w14:paraId="4859F033" w14:textId="198A8F2A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Cape Town Harbour</w:t>
            </w:r>
          </w:p>
        </w:tc>
        <w:tc>
          <w:tcPr>
            <w:tcW w:w="3115" w:type="dxa"/>
          </w:tcPr>
          <w:p w14:paraId="05400413" w14:textId="2C6FEA82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mthiart@sars.gov.za</w:t>
            </w:r>
          </w:p>
        </w:tc>
      </w:tr>
      <w:tr w:rsidR="00C51982" w:rsidRPr="00940D9C" w14:paraId="7F49D3F0" w14:textId="03E90268" w:rsidTr="00120A7F">
        <w:trPr>
          <w:trHeight w:val="260"/>
        </w:trPr>
        <w:tc>
          <w:tcPr>
            <w:tcW w:w="550" w:type="dxa"/>
          </w:tcPr>
          <w:p w14:paraId="3E7BDB70" w14:textId="7BDD7B86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05.</w:t>
            </w:r>
          </w:p>
        </w:tc>
        <w:tc>
          <w:tcPr>
            <w:tcW w:w="2652" w:type="dxa"/>
          </w:tcPr>
          <w:p w14:paraId="309E21B8" w14:textId="3DF7054A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 xml:space="preserve">Shadrack </w:t>
            </w:r>
            <w:proofErr w:type="spellStart"/>
            <w:r w:rsidRPr="00940D9C">
              <w:rPr>
                <w:rFonts w:ascii="Arial" w:hAnsi="Arial" w:cs="Arial"/>
                <w:sz w:val="24"/>
                <w:szCs w:val="24"/>
              </w:rPr>
              <w:t>Moutlana</w:t>
            </w:r>
            <w:proofErr w:type="spellEnd"/>
          </w:p>
        </w:tc>
        <w:tc>
          <w:tcPr>
            <w:tcW w:w="2325" w:type="dxa"/>
          </w:tcPr>
          <w:p w14:paraId="3D805501" w14:textId="0AAE10AA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City Deep</w:t>
            </w:r>
          </w:p>
        </w:tc>
        <w:tc>
          <w:tcPr>
            <w:tcW w:w="3115" w:type="dxa"/>
          </w:tcPr>
          <w:p w14:paraId="1D0DF76C" w14:textId="1EF2952E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smoutloana@sars.gov.za</w:t>
            </w:r>
          </w:p>
        </w:tc>
      </w:tr>
      <w:tr w:rsidR="00C51982" w:rsidRPr="00940D9C" w14:paraId="72C041B2" w14:textId="3BD9A115" w:rsidTr="00120A7F">
        <w:trPr>
          <w:trHeight w:val="260"/>
        </w:trPr>
        <w:tc>
          <w:tcPr>
            <w:tcW w:w="550" w:type="dxa"/>
          </w:tcPr>
          <w:p w14:paraId="124656BC" w14:textId="72FD2CCC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2652" w:type="dxa"/>
          </w:tcPr>
          <w:p w14:paraId="2F7A287D" w14:textId="4954A25A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 xml:space="preserve">Lee-Anne Maidza  </w:t>
            </w:r>
          </w:p>
        </w:tc>
        <w:tc>
          <w:tcPr>
            <w:tcW w:w="2325" w:type="dxa"/>
          </w:tcPr>
          <w:p w14:paraId="7C70141B" w14:textId="40DBBEF0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Eastern Cape</w:t>
            </w:r>
          </w:p>
        </w:tc>
        <w:tc>
          <w:tcPr>
            <w:tcW w:w="3115" w:type="dxa"/>
          </w:tcPr>
          <w:p w14:paraId="27057AF9" w14:textId="2363070E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lmaidza@sars.gov.za</w:t>
            </w:r>
          </w:p>
        </w:tc>
      </w:tr>
      <w:tr w:rsidR="00C51982" w:rsidRPr="00940D9C" w14:paraId="113B4DDE" w14:textId="184B5BDB" w:rsidTr="00120A7F">
        <w:trPr>
          <w:trHeight w:val="272"/>
        </w:trPr>
        <w:tc>
          <w:tcPr>
            <w:tcW w:w="550" w:type="dxa"/>
          </w:tcPr>
          <w:p w14:paraId="0F606388" w14:textId="124A507F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07.</w:t>
            </w:r>
          </w:p>
        </w:tc>
        <w:tc>
          <w:tcPr>
            <w:tcW w:w="2652" w:type="dxa"/>
          </w:tcPr>
          <w:p w14:paraId="7FD722CE" w14:textId="3D83EAC8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 xml:space="preserve">Elsie </w:t>
            </w:r>
            <w:proofErr w:type="spellStart"/>
            <w:r w:rsidRPr="00940D9C">
              <w:rPr>
                <w:rFonts w:ascii="Arial" w:hAnsi="Arial" w:cs="Arial"/>
                <w:sz w:val="24"/>
                <w:szCs w:val="24"/>
              </w:rPr>
              <w:t>Moalosi</w:t>
            </w:r>
            <w:proofErr w:type="spellEnd"/>
          </w:p>
        </w:tc>
        <w:tc>
          <w:tcPr>
            <w:tcW w:w="2325" w:type="dxa"/>
          </w:tcPr>
          <w:p w14:paraId="7B5F4732" w14:textId="0A6E9F2D" w:rsidR="00C51982" w:rsidRPr="00940D9C" w:rsidRDefault="00C51982" w:rsidP="004C11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ORTIA</w:t>
            </w:r>
          </w:p>
        </w:tc>
        <w:tc>
          <w:tcPr>
            <w:tcW w:w="3115" w:type="dxa"/>
          </w:tcPr>
          <w:p w14:paraId="1E0F9948" w14:textId="073AD5BE" w:rsidR="00C51982" w:rsidRPr="00940D9C" w:rsidRDefault="00C51982" w:rsidP="004C11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emoalosi@sars.gov.za</w:t>
            </w:r>
          </w:p>
        </w:tc>
      </w:tr>
      <w:tr w:rsidR="00C51982" w:rsidRPr="00940D9C" w14:paraId="1C908F16" w14:textId="577825E3" w:rsidTr="00120A7F">
        <w:trPr>
          <w:trHeight w:val="260"/>
        </w:trPr>
        <w:tc>
          <w:tcPr>
            <w:tcW w:w="550" w:type="dxa"/>
          </w:tcPr>
          <w:p w14:paraId="2B18C434" w14:textId="26CF610A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08.</w:t>
            </w:r>
          </w:p>
        </w:tc>
        <w:tc>
          <w:tcPr>
            <w:tcW w:w="2652" w:type="dxa"/>
          </w:tcPr>
          <w:p w14:paraId="702BBD27" w14:textId="560F6FB0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Anette Kotze</w:t>
            </w:r>
          </w:p>
        </w:tc>
        <w:tc>
          <w:tcPr>
            <w:tcW w:w="2325" w:type="dxa"/>
          </w:tcPr>
          <w:p w14:paraId="59047F32" w14:textId="5DD7BE98" w:rsidR="00C51982" w:rsidRPr="00940D9C" w:rsidRDefault="00C51982" w:rsidP="004C11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ORTIA</w:t>
            </w:r>
          </w:p>
        </w:tc>
        <w:tc>
          <w:tcPr>
            <w:tcW w:w="3115" w:type="dxa"/>
          </w:tcPr>
          <w:p w14:paraId="3752614A" w14:textId="1614D4FB" w:rsidR="00C51982" w:rsidRPr="00940D9C" w:rsidRDefault="00C51982" w:rsidP="004C11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akotze@sars.gov.za</w:t>
            </w:r>
          </w:p>
        </w:tc>
      </w:tr>
      <w:tr w:rsidR="00C51982" w:rsidRPr="00940D9C" w14:paraId="0169FE50" w14:textId="6E6B15F8" w:rsidTr="00120A7F">
        <w:trPr>
          <w:trHeight w:val="260"/>
        </w:trPr>
        <w:tc>
          <w:tcPr>
            <w:tcW w:w="550" w:type="dxa"/>
          </w:tcPr>
          <w:p w14:paraId="4A14ED41" w14:textId="55CF036E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09.</w:t>
            </w:r>
          </w:p>
        </w:tc>
        <w:tc>
          <w:tcPr>
            <w:tcW w:w="2652" w:type="dxa"/>
          </w:tcPr>
          <w:p w14:paraId="1FDEA7FD" w14:textId="029D838E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Logan Pillay</w:t>
            </w:r>
          </w:p>
        </w:tc>
        <w:tc>
          <w:tcPr>
            <w:tcW w:w="2325" w:type="dxa"/>
          </w:tcPr>
          <w:p w14:paraId="3BDF526D" w14:textId="2E610D5C" w:rsidR="00C51982" w:rsidRPr="00940D9C" w:rsidRDefault="00C51982" w:rsidP="004C11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ORTIA</w:t>
            </w:r>
          </w:p>
        </w:tc>
        <w:tc>
          <w:tcPr>
            <w:tcW w:w="3115" w:type="dxa"/>
          </w:tcPr>
          <w:p w14:paraId="1D36ACE1" w14:textId="15D3F0FD" w:rsidR="00C51982" w:rsidRPr="00940D9C" w:rsidRDefault="00C51982" w:rsidP="004C11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lpillay@sars.gov.za</w:t>
            </w:r>
          </w:p>
        </w:tc>
      </w:tr>
      <w:tr w:rsidR="00120A7F" w:rsidRPr="00940D9C" w14:paraId="7FAC5A0A" w14:textId="5592E8DD" w:rsidTr="00120A7F">
        <w:trPr>
          <w:trHeight w:val="260"/>
        </w:trPr>
        <w:tc>
          <w:tcPr>
            <w:tcW w:w="550" w:type="dxa"/>
          </w:tcPr>
          <w:p w14:paraId="2FBBF5EC" w14:textId="4750D49A" w:rsidR="00120A7F" w:rsidRPr="00940D9C" w:rsidRDefault="00120A7F" w:rsidP="00120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652" w:type="dxa"/>
            <w:shd w:val="clear" w:color="auto" w:fill="FFFFFF" w:themeFill="background1"/>
          </w:tcPr>
          <w:p w14:paraId="58D63C2B" w14:textId="4430B78F" w:rsidR="00120A7F" w:rsidRPr="00940D9C" w:rsidRDefault="00120A7F" w:rsidP="00120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0A7F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Farhaz </w:t>
            </w:r>
            <w:proofErr w:type="spellStart"/>
            <w:r w:rsidRPr="00940D9C">
              <w:rPr>
                <w:rFonts w:ascii="Arial" w:hAnsi="Arial" w:cs="Arial"/>
                <w:sz w:val="24"/>
                <w:szCs w:val="24"/>
              </w:rPr>
              <w:t>Essop</w:t>
            </w:r>
            <w:proofErr w:type="spellEnd"/>
          </w:p>
        </w:tc>
        <w:tc>
          <w:tcPr>
            <w:tcW w:w="2325" w:type="dxa"/>
            <w:shd w:val="clear" w:color="auto" w:fill="FFFFFF" w:themeFill="background1"/>
          </w:tcPr>
          <w:p w14:paraId="2DCF2ADE" w14:textId="149B128E" w:rsidR="00120A7F" w:rsidRPr="00940D9C" w:rsidRDefault="00120A7F" w:rsidP="00120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0A7F">
              <w:rPr>
                <w:rFonts w:ascii="Arial" w:hAnsi="Arial" w:cs="Arial"/>
                <w:sz w:val="24"/>
                <w:szCs w:val="24"/>
              </w:rPr>
              <w:t>KSIA</w:t>
            </w:r>
          </w:p>
        </w:tc>
        <w:tc>
          <w:tcPr>
            <w:tcW w:w="3115" w:type="dxa"/>
          </w:tcPr>
          <w:p w14:paraId="7FFC37CE" w14:textId="3A8776B0" w:rsidR="00120A7F" w:rsidRPr="00940D9C" w:rsidRDefault="00120A7F" w:rsidP="00120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fessop@sars.gov.za</w:t>
            </w:r>
          </w:p>
        </w:tc>
      </w:tr>
      <w:tr w:rsidR="00C51982" w:rsidRPr="00940D9C" w14:paraId="70E2A02E" w14:textId="09F5CBA8" w:rsidTr="00120A7F">
        <w:trPr>
          <w:trHeight w:val="272"/>
        </w:trPr>
        <w:tc>
          <w:tcPr>
            <w:tcW w:w="550" w:type="dxa"/>
          </w:tcPr>
          <w:p w14:paraId="60A245D4" w14:textId="4AE64401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652" w:type="dxa"/>
          </w:tcPr>
          <w:p w14:paraId="4C5DCD14" w14:textId="6410DE4F" w:rsidR="00C51982" w:rsidRPr="00940D9C" w:rsidRDefault="00C51982" w:rsidP="00E679F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40D9C">
              <w:rPr>
                <w:rFonts w:ascii="Arial" w:hAnsi="Arial" w:cs="Arial"/>
                <w:sz w:val="24"/>
                <w:szCs w:val="24"/>
              </w:rPr>
              <w:t>Sithobile</w:t>
            </w:r>
            <w:proofErr w:type="spellEnd"/>
            <w:r w:rsidRPr="00940D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6990" w:rsidRPr="00940D9C">
              <w:rPr>
                <w:rFonts w:ascii="Arial" w:hAnsi="Arial" w:cs="Arial"/>
                <w:sz w:val="24"/>
                <w:szCs w:val="24"/>
              </w:rPr>
              <w:t>Nkosi</w:t>
            </w:r>
          </w:p>
        </w:tc>
        <w:tc>
          <w:tcPr>
            <w:tcW w:w="2325" w:type="dxa"/>
          </w:tcPr>
          <w:p w14:paraId="459143CB" w14:textId="5FA17526" w:rsidR="00C51982" w:rsidRPr="00940D9C" w:rsidRDefault="00C51982" w:rsidP="004C11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Golela Border</w:t>
            </w:r>
          </w:p>
        </w:tc>
        <w:tc>
          <w:tcPr>
            <w:tcW w:w="3115" w:type="dxa"/>
          </w:tcPr>
          <w:p w14:paraId="35929C36" w14:textId="44D89F4B" w:rsidR="00C51982" w:rsidRPr="00A56990" w:rsidRDefault="00000000" w:rsidP="004C11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A56990" w:rsidRPr="00A56990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snkosi6@sars.gov.za</w:t>
              </w:r>
            </w:hyperlink>
          </w:p>
        </w:tc>
      </w:tr>
      <w:tr w:rsidR="00C51982" w:rsidRPr="00940D9C" w14:paraId="5B76EDB9" w14:textId="547F9596" w:rsidTr="00120A7F">
        <w:trPr>
          <w:trHeight w:val="260"/>
        </w:trPr>
        <w:tc>
          <w:tcPr>
            <w:tcW w:w="550" w:type="dxa"/>
          </w:tcPr>
          <w:p w14:paraId="01599513" w14:textId="69174B33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652" w:type="dxa"/>
          </w:tcPr>
          <w:p w14:paraId="64B8BB9D" w14:textId="762D696B" w:rsidR="00C51982" w:rsidRPr="00940D9C" w:rsidRDefault="00C51982" w:rsidP="00E679F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40D9C">
              <w:rPr>
                <w:rFonts w:ascii="Arial" w:hAnsi="Arial" w:cs="Arial"/>
                <w:sz w:val="24"/>
                <w:szCs w:val="24"/>
              </w:rPr>
              <w:t>Matsobane</w:t>
            </w:r>
            <w:proofErr w:type="spellEnd"/>
            <w:r w:rsidRPr="00940D9C">
              <w:rPr>
                <w:rFonts w:ascii="Arial" w:hAnsi="Arial" w:cs="Arial"/>
                <w:sz w:val="24"/>
                <w:szCs w:val="24"/>
              </w:rPr>
              <w:t xml:space="preserve"> Mopane</w:t>
            </w:r>
          </w:p>
        </w:tc>
        <w:tc>
          <w:tcPr>
            <w:tcW w:w="2325" w:type="dxa"/>
          </w:tcPr>
          <w:p w14:paraId="1E025B57" w14:textId="0504D79C" w:rsidR="00C51982" w:rsidRPr="00940D9C" w:rsidRDefault="00C51982" w:rsidP="004C11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Golela Border</w:t>
            </w:r>
          </w:p>
        </w:tc>
        <w:tc>
          <w:tcPr>
            <w:tcW w:w="3115" w:type="dxa"/>
          </w:tcPr>
          <w:p w14:paraId="3D9A90C1" w14:textId="0BBD66AD" w:rsidR="00C51982" w:rsidRPr="00A56990" w:rsidRDefault="00000000" w:rsidP="004C11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A56990" w:rsidRPr="00A56990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mmopane@sars.gov.za</w:t>
              </w:r>
            </w:hyperlink>
          </w:p>
        </w:tc>
      </w:tr>
      <w:tr w:rsidR="00C51982" w:rsidRPr="00940D9C" w14:paraId="5D91A615" w14:textId="6DB02037" w:rsidTr="00120A7F">
        <w:trPr>
          <w:trHeight w:val="260"/>
        </w:trPr>
        <w:tc>
          <w:tcPr>
            <w:tcW w:w="550" w:type="dxa"/>
          </w:tcPr>
          <w:p w14:paraId="1333A767" w14:textId="667721F8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652" w:type="dxa"/>
          </w:tcPr>
          <w:p w14:paraId="3FA9D10B" w14:textId="54CF6FDC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Bush Nkosi</w:t>
            </w:r>
          </w:p>
        </w:tc>
        <w:tc>
          <w:tcPr>
            <w:tcW w:w="2325" w:type="dxa"/>
          </w:tcPr>
          <w:p w14:paraId="70C5566E" w14:textId="48ECD55A" w:rsidR="00C51982" w:rsidRPr="00940D9C" w:rsidRDefault="00C51982" w:rsidP="004C11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Golela Border</w:t>
            </w:r>
          </w:p>
        </w:tc>
        <w:tc>
          <w:tcPr>
            <w:tcW w:w="3115" w:type="dxa"/>
          </w:tcPr>
          <w:p w14:paraId="18D0D199" w14:textId="52AA3DF6" w:rsidR="00C51982" w:rsidRPr="00940D9C" w:rsidRDefault="00C26370" w:rsidP="004C11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bnkosi1@sars.gov.za</w:t>
            </w:r>
          </w:p>
        </w:tc>
      </w:tr>
      <w:tr w:rsidR="00C51982" w:rsidRPr="00940D9C" w14:paraId="540A86C4" w14:textId="1E05988D" w:rsidTr="00120A7F">
        <w:trPr>
          <w:trHeight w:val="260"/>
        </w:trPr>
        <w:tc>
          <w:tcPr>
            <w:tcW w:w="550" w:type="dxa"/>
          </w:tcPr>
          <w:p w14:paraId="2911091D" w14:textId="79A9EFA7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652" w:type="dxa"/>
          </w:tcPr>
          <w:p w14:paraId="0D97598E" w14:textId="5F51058F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Zinhle Ngcobo</w:t>
            </w:r>
          </w:p>
        </w:tc>
        <w:tc>
          <w:tcPr>
            <w:tcW w:w="2325" w:type="dxa"/>
          </w:tcPr>
          <w:p w14:paraId="02536306" w14:textId="32E0DFC7" w:rsidR="00C51982" w:rsidRPr="00940D9C" w:rsidRDefault="00C51982" w:rsidP="004C11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Golela Border</w:t>
            </w:r>
          </w:p>
        </w:tc>
        <w:tc>
          <w:tcPr>
            <w:tcW w:w="3115" w:type="dxa"/>
          </w:tcPr>
          <w:p w14:paraId="57BA1504" w14:textId="2E641826" w:rsidR="00C51982" w:rsidRPr="00940D9C" w:rsidRDefault="00C26370" w:rsidP="004C11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zngcobo2@sars.gov.za</w:t>
            </w:r>
          </w:p>
        </w:tc>
      </w:tr>
      <w:tr w:rsidR="00C51982" w:rsidRPr="00940D9C" w14:paraId="3ECE2271" w14:textId="18C51259" w:rsidTr="00120A7F">
        <w:trPr>
          <w:trHeight w:val="260"/>
        </w:trPr>
        <w:tc>
          <w:tcPr>
            <w:tcW w:w="550" w:type="dxa"/>
          </w:tcPr>
          <w:p w14:paraId="56766935" w14:textId="3F04E698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52" w:type="dxa"/>
          </w:tcPr>
          <w:p w14:paraId="17AEFBEF" w14:textId="18B5845E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Vuyiswa Maphobole</w:t>
            </w:r>
          </w:p>
        </w:tc>
        <w:tc>
          <w:tcPr>
            <w:tcW w:w="2325" w:type="dxa"/>
          </w:tcPr>
          <w:p w14:paraId="2F03C5F5" w14:textId="21510C47" w:rsidR="00C51982" w:rsidRPr="00940D9C" w:rsidRDefault="00C51982" w:rsidP="004C11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FBB</w:t>
            </w:r>
          </w:p>
        </w:tc>
        <w:tc>
          <w:tcPr>
            <w:tcW w:w="3115" w:type="dxa"/>
          </w:tcPr>
          <w:p w14:paraId="5B5D9647" w14:textId="38F79818" w:rsidR="00C51982" w:rsidRPr="00940D9C" w:rsidRDefault="00C26370" w:rsidP="004C11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vmaphobole@sars.gov.za</w:t>
            </w:r>
          </w:p>
        </w:tc>
      </w:tr>
      <w:tr w:rsidR="00C51982" w:rsidRPr="00940D9C" w14:paraId="34C39485" w14:textId="305B199B" w:rsidTr="00120A7F">
        <w:trPr>
          <w:trHeight w:val="272"/>
        </w:trPr>
        <w:tc>
          <w:tcPr>
            <w:tcW w:w="550" w:type="dxa"/>
          </w:tcPr>
          <w:p w14:paraId="05512A7A" w14:textId="11B8299F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652" w:type="dxa"/>
          </w:tcPr>
          <w:p w14:paraId="15D74525" w14:textId="6A15C222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Kwena Morifi</w:t>
            </w:r>
          </w:p>
        </w:tc>
        <w:tc>
          <w:tcPr>
            <w:tcW w:w="2325" w:type="dxa"/>
          </w:tcPr>
          <w:p w14:paraId="7E844E7A" w14:textId="41211165" w:rsidR="00C51982" w:rsidRPr="00940D9C" w:rsidRDefault="00C51982" w:rsidP="004C11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Skilpadshek Border</w:t>
            </w:r>
          </w:p>
        </w:tc>
        <w:tc>
          <w:tcPr>
            <w:tcW w:w="3115" w:type="dxa"/>
          </w:tcPr>
          <w:p w14:paraId="31F213CB" w14:textId="2C756B5E" w:rsidR="00C51982" w:rsidRPr="00940D9C" w:rsidRDefault="00C26370" w:rsidP="004C11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kmorifi@sars.gov.za</w:t>
            </w:r>
          </w:p>
        </w:tc>
      </w:tr>
      <w:tr w:rsidR="00C51982" w:rsidRPr="00940D9C" w14:paraId="0CFAC4E6" w14:textId="2EEE2D56" w:rsidTr="00120A7F">
        <w:trPr>
          <w:trHeight w:val="260"/>
        </w:trPr>
        <w:tc>
          <w:tcPr>
            <w:tcW w:w="550" w:type="dxa"/>
          </w:tcPr>
          <w:p w14:paraId="38966123" w14:textId="08D732AB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652" w:type="dxa"/>
          </w:tcPr>
          <w:p w14:paraId="7C195480" w14:textId="3C076D3C" w:rsidR="00C51982" w:rsidRPr="00940D9C" w:rsidRDefault="00C51982" w:rsidP="00F470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 xml:space="preserve">Obert Sibiya </w:t>
            </w:r>
          </w:p>
        </w:tc>
        <w:tc>
          <w:tcPr>
            <w:tcW w:w="2325" w:type="dxa"/>
          </w:tcPr>
          <w:p w14:paraId="72CBBC11" w14:textId="08307B6B" w:rsidR="00C51982" w:rsidRPr="00940D9C" w:rsidRDefault="00C51982" w:rsidP="004C11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Golela</w:t>
            </w:r>
          </w:p>
        </w:tc>
        <w:tc>
          <w:tcPr>
            <w:tcW w:w="3115" w:type="dxa"/>
          </w:tcPr>
          <w:p w14:paraId="024E06E0" w14:textId="2574CA3D" w:rsidR="00C51982" w:rsidRPr="00940D9C" w:rsidRDefault="00C26370" w:rsidP="004C11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D9C">
              <w:rPr>
                <w:rFonts w:ascii="Arial" w:hAnsi="Arial" w:cs="Arial"/>
                <w:sz w:val="24"/>
                <w:szCs w:val="24"/>
              </w:rPr>
              <w:t>osibiya@sars.gov.za</w:t>
            </w:r>
          </w:p>
        </w:tc>
      </w:tr>
    </w:tbl>
    <w:p w14:paraId="2C7DDDDC" w14:textId="77777777" w:rsidR="004A38F3" w:rsidRDefault="004A38F3" w:rsidP="00F4709A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20EDE8BC" w14:textId="77777777" w:rsidR="00A56990" w:rsidRPr="00940D9C" w:rsidRDefault="00A56990" w:rsidP="00F4709A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6C568AB6" w14:textId="77777777" w:rsidR="00F16CCA" w:rsidRPr="00940D9C" w:rsidRDefault="00F16CCA" w:rsidP="00F4709A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0117A05D" w14:textId="77777777" w:rsidR="00F16CCA" w:rsidRPr="00940D9C" w:rsidRDefault="00F16CCA" w:rsidP="00F4709A">
      <w:pPr>
        <w:jc w:val="both"/>
        <w:rPr>
          <w:rFonts w:ascii="Arial" w:hAnsi="Arial" w:cs="Arial"/>
          <w:sz w:val="24"/>
          <w:szCs w:val="24"/>
        </w:rPr>
      </w:pPr>
    </w:p>
    <w:sectPr w:rsidR="00F16CCA" w:rsidRPr="00940D9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8333F" w14:textId="77777777" w:rsidR="00850193" w:rsidRDefault="00850193" w:rsidP="00940D9C">
      <w:pPr>
        <w:spacing w:after="0" w:line="240" w:lineRule="auto"/>
      </w:pPr>
      <w:r>
        <w:separator/>
      </w:r>
    </w:p>
  </w:endnote>
  <w:endnote w:type="continuationSeparator" w:id="0">
    <w:p w14:paraId="0E2A95CD" w14:textId="77777777" w:rsidR="00850193" w:rsidRDefault="00850193" w:rsidP="0094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8372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3C33BC" w14:textId="3AADA490" w:rsidR="00940D9C" w:rsidRDefault="00940D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48651C" w14:textId="77777777" w:rsidR="00940D9C" w:rsidRDefault="00940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21CC1" w14:textId="77777777" w:rsidR="00850193" w:rsidRDefault="00850193" w:rsidP="00940D9C">
      <w:pPr>
        <w:spacing w:after="0" w:line="240" w:lineRule="auto"/>
      </w:pPr>
      <w:r>
        <w:separator/>
      </w:r>
    </w:p>
  </w:footnote>
  <w:footnote w:type="continuationSeparator" w:id="0">
    <w:p w14:paraId="5BE0C3CF" w14:textId="77777777" w:rsidR="00850193" w:rsidRDefault="00850193" w:rsidP="00940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F4932"/>
    <w:multiLevelType w:val="hybridMultilevel"/>
    <w:tmpl w:val="765C0D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72A9A"/>
    <w:multiLevelType w:val="hybridMultilevel"/>
    <w:tmpl w:val="FC8ACE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4683">
    <w:abstractNumId w:val="1"/>
  </w:num>
  <w:num w:numId="2" w16cid:durableId="1320185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F3"/>
    <w:rsid w:val="0002776B"/>
    <w:rsid w:val="000B2CFC"/>
    <w:rsid w:val="000B43AB"/>
    <w:rsid w:val="000E2D11"/>
    <w:rsid w:val="00120A7F"/>
    <w:rsid w:val="00121F3B"/>
    <w:rsid w:val="00126F42"/>
    <w:rsid w:val="001340F3"/>
    <w:rsid w:val="0013581D"/>
    <w:rsid w:val="00145895"/>
    <w:rsid w:val="002862CB"/>
    <w:rsid w:val="002B2085"/>
    <w:rsid w:val="00302C0A"/>
    <w:rsid w:val="00316F0C"/>
    <w:rsid w:val="0034708B"/>
    <w:rsid w:val="004114D2"/>
    <w:rsid w:val="0043464F"/>
    <w:rsid w:val="0048180B"/>
    <w:rsid w:val="00495FBF"/>
    <w:rsid w:val="004A1B8B"/>
    <w:rsid w:val="004A38F3"/>
    <w:rsid w:val="004B02C3"/>
    <w:rsid w:val="004C1165"/>
    <w:rsid w:val="004C1A43"/>
    <w:rsid w:val="0050638A"/>
    <w:rsid w:val="005556FE"/>
    <w:rsid w:val="00602445"/>
    <w:rsid w:val="00850193"/>
    <w:rsid w:val="008842DD"/>
    <w:rsid w:val="008974C5"/>
    <w:rsid w:val="00940D9C"/>
    <w:rsid w:val="009F05F5"/>
    <w:rsid w:val="00A23ABB"/>
    <w:rsid w:val="00A55C39"/>
    <w:rsid w:val="00A56990"/>
    <w:rsid w:val="00A94A8F"/>
    <w:rsid w:val="00AA2D27"/>
    <w:rsid w:val="00AB39C6"/>
    <w:rsid w:val="00B409F3"/>
    <w:rsid w:val="00C15345"/>
    <w:rsid w:val="00C26370"/>
    <w:rsid w:val="00C45803"/>
    <w:rsid w:val="00C45D88"/>
    <w:rsid w:val="00C51982"/>
    <w:rsid w:val="00C51F64"/>
    <w:rsid w:val="00C5331D"/>
    <w:rsid w:val="00C578FF"/>
    <w:rsid w:val="00E679F7"/>
    <w:rsid w:val="00EE5285"/>
    <w:rsid w:val="00EE688D"/>
    <w:rsid w:val="00EF3BE4"/>
    <w:rsid w:val="00F115CC"/>
    <w:rsid w:val="00F16CCA"/>
    <w:rsid w:val="00F35956"/>
    <w:rsid w:val="00F4709A"/>
    <w:rsid w:val="00F528B4"/>
    <w:rsid w:val="00FD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0EA4C"/>
  <w15:chartTrackingRefBased/>
  <w15:docId w15:val="{56777829-F0FC-4050-BA5D-8A5E3EE5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2C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862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862CB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customStyle="1" w:styleId="cf01">
    <w:name w:val="cf01"/>
    <w:basedOn w:val="DefaultParagraphFont"/>
    <w:rsid w:val="00C45803"/>
    <w:rPr>
      <w:rFonts w:ascii="Segoe UI" w:hAnsi="Segoe UI" w:cs="Segoe UI" w:hint="default"/>
      <w:color w:val="262626"/>
      <w:sz w:val="36"/>
      <w:szCs w:val="36"/>
    </w:rPr>
  </w:style>
  <w:style w:type="paragraph" w:styleId="Revision">
    <w:name w:val="Revision"/>
    <w:hidden/>
    <w:uiPriority w:val="99"/>
    <w:semiHidden/>
    <w:rsid w:val="00126F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95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F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F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FB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0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D9C"/>
  </w:style>
  <w:style w:type="paragraph" w:styleId="Footer">
    <w:name w:val="footer"/>
    <w:basedOn w:val="Normal"/>
    <w:link w:val="FooterChar"/>
    <w:uiPriority w:val="99"/>
    <w:unhideWhenUsed/>
    <w:rsid w:val="00940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D9C"/>
  </w:style>
  <w:style w:type="character" w:styleId="Hyperlink">
    <w:name w:val="Hyperlink"/>
    <w:basedOn w:val="DefaultParagraphFont"/>
    <w:uiPriority w:val="99"/>
    <w:semiHidden/>
    <w:unhideWhenUsed/>
    <w:rsid w:val="00A569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opane@sars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nkosi6@sars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Mashoene</dc:creator>
  <cp:keywords/>
  <dc:description/>
  <cp:lastModifiedBy>Wilna Meintjes</cp:lastModifiedBy>
  <cp:revision>2</cp:revision>
  <dcterms:created xsi:type="dcterms:W3CDTF">2023-10-06T13:17:00Z</dcterms:created>
  <dcterms:modified xsi:type="dcterms:W3CDTF">2023-10-06T13:17:00Z</dcterms:modified>
</cp:coreProperties>
</file>