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B3E9" w14:textId="77777777" w:rsidR="00466311" w:rsidRPr="008F4D89" w:rsidRDefault="00466311" w:rsidP="008F4D89">
      <w:pPr>
        <w:pStyle w:val="BodyA"/>
        <w:suppressAutoHyphens/>
        <w:spacing w:line="360" w:lineRule="auto"/>
        <w:jc w:val="center"/>
        <w:rPr>
          <w:rFonts w:ascii="Arial" w:hAnsi="Arial" w:cs="Arial"/>
          <w:b/>
          <w:bCs/>
          <w:kern w:val="28"/>
          <w:sz w:val="22"/>
          <w:szCs w:val="22"/>
        </w:rPr>
      </w:pPr>
      <w:r w:rsidRPr="008F4D89">
        <w:rPr>
          <w:rFonts w:ascii="Arial" w:hAnsi="Arial" w:cs="Arial"/>
          <w:b/>
          <w:bCs/>
          <w:kern w:val="28"/>
          <w:sz w:val="22"/>
          <w:szCs w:val="22"/>
        </w:rPr>
        <w:t>REPUBLIC OF SOUTH AFRICA</w:t>
      </w:r>
    </w:p>
    <w:p w14:paraId="55A34276" w14:textId="64CF4F82" w:rsidR="00466311" w:rsidRPr="008F4D89" w:rsidRDefault="00466311" w:rsidP="008F4D89">
      <w:pPr>
        <w:pStyle w:val="BodyA"/>
        <w:suppressAutoHyphens/>
        <w:spacing w:line="360" w:lineRule="auto"/>
        <w:jc w:val="center"/>
        <w:rPr>
          <w:rFonts w:ascii="Arial" w:eastAsia="Arial" w:hAnsi="Arial" w:cs="Arial"/>
          <w:b/>
          <w:bCs/>
          <w:kern w:val="28"/>
          <w:sz w:val="22"/>
          <w:szCs w:val="22"/>
        </w:rPr>
      </w:pPr>
      <w:r w:rsidRPr="008C4B39">
        <w:rPr>
          <w:rFonts w:cs="Arial"/>
          <w:noProof/>
          <w:sz w:val="22"/>
          <w:szCs w:val="22"/>
        </w:rPr>
        <w:drawing>
          <wp:inline distT="0" distB="0" distL="0" distR="0" wp14:anchorId="1819D57D" wp14:editId="321FE76A">
            <wp:extent cx="1350645" cy="1350645"/>
            <wp:effectExtent l="0" t="0" r="1905" b="1905"/>
            <wp:docPr id="1" name="Picture 1" descr="Description: cid:image001.png@01D076AF.8E67B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1.png@01D076AF.8E67B5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50645" cy="1350645"/>
                    </a:xfrm>
                    <a:prstGeom prst="rect">
                      <a:avLst/>
                    </a:prstGeom>
                    <a:noFill/>
                    <a:ln>
                      <a:noFill/>
                    </a:ln>
                  </pic:spPr>
                </pic:pic>
              </a:graphicData>
            </a:graphic>
          </wp:inline>
        </w:drawing>
      </w:r>
    </w:p>
    <w:p w14:paraId="73398939" w14:textId="77777777" w:rsidR="00466311" w:rsidRPr="008F4D89" w:rsidRDefault="00466311" w:rsidP="008F4D89">
      <w:pPr>
        <w:pStyle w:val="BodyA"/>
        <w:suppressAutoHyphens/>
        <w:spacing w:line="360" w:lineRule="auto"/>
        <w:jc w:val="center"/>
        <w:rPr>
          <w:rFonts w:ascii="Arial" w:hAnsi="Arial" w:cs="Arial"/>
          <w:b/>
          <w:bCs/>
          <w:kern w:val="28"/>
          <w:sz w:val="22"/>
          <w:szCs w:val="22"/>
        </w:rPr>
      </w:pPr>
      <w:r w:rsidRPr="008F4D89">
        <w:rPr>
          <w:rFonts w:ascii="Arial" w:hAnsi="Arial" w:cs="Arial"/>
          <w:b/>
          <w:bCs/>
          <w:kern w:val="28"/>
          <w:sz w:val="22"/>
          <w:szCs w:val="22"/>
        </w:rPr>
        <w:t xml:space="preserve">IN THE </w:t>
      </w:r>
      <w:r w:rsidR="001A1E8E" w:rsidRPr="008F4D89">
        <w:rPr>
          <w:rFonts w:ascii="Arial" w:hAnsi="Arial" w:cs="Arial"/>
          <w:b/>
          <w:bCs/>
          <w:kern w:val="28"/>
          <w:sz w:val="22"/>
          <w:szCs w:val="22"/>
        </w:rPr>
        <w:t>TAX</w:t>
      </w:r>
      <w:r w:rsidRPr="008F4D89">
        <w:rPr>
          <w:rFonts w:ascii="Arial" w:hAnsi="Arial" w:cs="Arial"/>
          <w:b/>
          <w:bCs/>
          <w:kern w:val="28"/>
          <w:sz w:val="22"/>
          <w:szCs w:val="22"/>
        </w:rPr>
        <w:t xml:space="preserve"> COURT OF SOUTH AFRICA</w:t>
      </w:r>
    </w:p>
    <w:p w14:paraId="0152402E" w14:textId="094515C9" w:rsidR="00466311" w:rsidRPr="008F4D89" w:rsidRDefault="001A1E8E" w:rsidP="008F4D89">
      <w:pPr>
        <w:pStyle w:val="BodyA"/>
        <w:suppressAutoHyphens/>
        <w:spacing w:line="360" w:lineRule="auto"/>
        <w:jc w:val="center"/>
        <w:rPr>
          <w:rFonts w:ascii="Arial" w:hAnsi="Arial" w:cs="Arial"/>
          <w:b/>
          <w:bCs/>
          <w:kern w:val="28"/>
          <w:sz w:val="22"/>
          <w:szCs w:val="22"/>
          <w:lang w:val="de-DE"/>
        </w:rPr>
      </w:pPr>
      <w:r w:rsidRPr="008F4D89">
        <w:rPr>
          <w:rFonts w:ascii="Arial" w:hAnsi="Arial" w:cs="Arial"/>
          <w:b/>
          <w:bCs/>
          <w:kern w:val="28"/>
          <w:sz w:val="22"/>
          <w:szCs w:val="22"/>
          <w:lang w:val="de-DE"/>
        </w:rPr>
        <w:t>(HELD AT MEGAWATT PARK, JOHANNESBURG</w:t>
      </w:r>
      <w:r w:rsidR="008F4D89">
        <w:rPr>
          <w:rFonts w:ascii="Arial" w:hAnsi="Arial" w:cs="Arial"/>
          <w:b/>
          <w:bCs/>
          <w:kern w:val="28"/>
          <w:sz w:val="22"/>
          <w:szCs w:val="22"/>
          <w:lang w:val="de-DE"/>
        </w:rPr>
        <w:t>)</w:t>
      </w:r>
    </w:p>
    <w:p w14:paraId="4B74CA8D" w14:textId="77777777" w:rsidR="00466311" w:rsidRPr="008F4D89" w:rsidRDefault="00466311" w:rsidP="008F4D89">
      <w:pPr>
        <w:pStyle w:val="BodyA"/>
        <w:tabs>
          <w:tab w:val="left" w:pos="780"/>
        </w:tabs>
        <w:suppressAutoHyphens/>
        <w:spacing w:line="360" w:lineRule="auto"/>
        <w:jc w:val="center"/>
        <w:rPr>
          <w:rFonts w:ascii="Arial" w:eastAsia="Arial" w:hAnsi="Arial" w:cs="Arial"/>
          <w:kern w:val="28"/>
          <w:sz w:val="22"/>
          <w:szCs w:val="22"/>
        </w:rPr>
      </w:pPr>
    </w:p>
    <w:p w14:paraId="0344F7C2" w14:textId="77777777" w:rsidR="008F4D89" w:rsidRPr="00C50E2C" w:rsidRDefault="00466311" w:rsidP="008F4D89">
      <w:pPr>
        <w:spacing w:line="360" w:lineRule="auto"/>
        <w:jc w:val="right"/>
        <w:rPr>
          <w:rFonts w:cs="Arial"/>
          <w:sz w:val="22"/>
          <w:szCs w:val="22"/>
        </w:rPr>
      </w:pPr>
      <w:r w:rsidRPr="008C4B39">
        <w:rPr>
          <w:rFonts w:cs="Arial"/>
          <w:sz w:val="22"/>
          <w:szCs w:val="22"/>
        </w:rPr>
        <w:tab/>
      </w:r>
      <w:r w:rsidRPr="008C4B39">
        <w:rPr>
          <w:rFonts w:cs="Arial"/>
          <w:bCs/>
          <w:sz w:val="22"/>
          <w:szCs w:val="22"/>
        </w:rPr>
        <w:t>Case N</w:t>
      </w:r>
      <w:r w:rsidR="008F4D89">
        <w:rPr>
          <w:rFonts w:cs="Arial"/>
          <w:bCs/>
          <w:sz w:val="22"/>
          <w:szCs w:val="22"/>
        </w:rPr>
        <w:t>o.</w:t>
      </w:r>
      <w:r w:rsidRPr="008C4B39">
        <w:rPr>
          <w:rFonts w:cs="Arial"/>
          <w:bCs/>
          <w:sz w:val="22"/>
          <w:szCs w:val="22"/>
        </w:rPr>
        <w:t xml:space="preserve">: </w:t>
      </w:r>
      <w:r w:rsidR="001A1E8E" w:rsidRPr="008F4D89">
        <w:rPr>
          <w:rFonts w:cs="Arial"/>
          <w:b/>
          <w:sz w:val="22"/>
          <w:szCs w:val="22"/>
        </w:rPr>
        <w:t>IT</w:t>
      </w:r>
      <w:r w:rsidR="008F4D89" w:rsidRPr="008F4D89">
        <w:rPr>
          <w:rFonts w:cs="Arial"/>
          <w:b/>
          <w:sz w:val="22"/>
          <w:szCs w:val="22"/>
        </w:rPr>
        <w:t xml:space="preserve"> </w:t>
      </w:r>
      <w:r w:rsidR="001A1E8E" w:rsidRPr="008F4D89">
        <w:rPr>
          <w:rFonts w:cs="Arial"/>
          <w:b/>
          <w:sz w:val="22"/>
          <w:szCs w:val="22"/>
        </w:rPr>
        <w:t>25209</w:t>
      </w:r>
    </w:p>
    <w:p w14:paraId="07E18AB2" w14:textId="77777777" w:rsidR="008F4D89" w:rsidRPr="00C50E2C" w:rsidRDefault="008F4D89" w:rsidP="008F4D89">
      <w:pPr>
        <w:spacing w:after="360" w:line="360" w:lineRule="auto"/>
        <w:rPr>
          <w:rFonts w:cs="Arial"/>
          <w:sz w:val="22"/>
          <w:szCs w:val="22"/>
        </w:rPr>
      </w:pPr>
      <w:r w:rsidRPr="00C50E2C">
        <w:rPr>
          <w:rFonts w:cs="Arial"/>
          <w:noProof/>
          <w:sz w:val="22"/>
          <w:szCs w:val="22"/>
        </w:rPr>
        <mc:AlternateContent>
          <mc:Choice Requires="wps">
            <w:drawing>
              <wp:inline distT="0" distB="0" distL="0" distR="0" wp14:anchorId="7BE4CD3A" wp14:editId="13A2372A">
                <wp:extent cx="3327400" cy="1553210"/>
                <wp:effectExtent l="7620" t="5715" r="8255" b="12700"/>
                <wp:docPr id="9183373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553210"/>
                        </a:xfrm>
                        <a:prstGeom prst="rect">
                          <a:avLst/>
                        </a:prstGeom>
                        <a:solidFill>
                          <a:srgbClr val="FFFFFF"/>
                        </a:solidFill>
                        <a:ln w="9525">
                          <a:solidFill>
                            <a:srgbClr val="000000"/>
                          </a:solidFill>
                          <a:miter lim="800000"/>
                          <a:headEnd/>
                          <a:tailEnd/>
                        </a:ln>
                      </wps:spPr>
                      <wps:txbx>
                        <w:txbxContent>
                          <w:p w14:paraId="7E1C5AE1" w14:textId="77777777" w:rsidR="008F4D89" w:rsidRPr="00FD246E" w:rsidRDefault="008F4D89" w:rsidP="008F4D89">
                            <w:pPr>
                              <w:numPr>
                                <w:ilvl w:val="0"/>
                                <w:numId w:val="3"/>
                              </w:numPr>
                              <w:spacing w:before="240" w:after="160"/>
                              <w:rPr>
                                <w:rFonts w:ascii="Century Gothic" w:hAnsi="Century Gothic"/>
                                <w:sz w:val="20"/>
                                <w:szCs w:val="20"/>
                              </w:rPr>
                            </w:pPr>
                            <w:r w:rsidRPr="00FD246E">
                              <w:rPr>
                                <w:rFonts w:ascii="Century Gothic" w:hAnsi="Century Gothic"/>
                                <w:sz w:val="20"/>
                                <w:szCs w:val="20"/>
                              </w:rPr>
                              <w:t xml:space="preserve">REPORTABLE: YES / </w:t>
                            </w:r>
                            <w:r w:rsidRPr="00FD246E">
                              <w:rPr>
                                <w:rFonts w:ascii="Century Gothic" w:hAnsi="Century Gothic"/>
                                <w:b/>
                                <w:bCs/>
                                <w:sz w:val="20"/>
                                <w:szCs w:val="20"/>
                              </w:rPr>
                              <w:t>NO</w:t>
                            </w:r>
                          </w:p>
                          <w:p w14:paraId="20D75422" w14:textId="77777777" w:rsidR="008F4D89" w:rsidRPr="00FD246E" w:rsidRDefault="008F4D89" w:rsidP="008F4D89">
                            <w:pPr>
                              <w:numPr>
                                <w:ilvl w:val="0"/>
                                <w:numId w:val="3"/>
                              </w:numPr>
                              <w:spacing w:after="160"/>
                              <w:rPr>
                                <w:rFonts w:ascii="Century Gothic" w:hAnsi="Century Gothic"/>
                                <w:sz w:val="20"/>
                                <w:szCs w:val="20"/>
                              </w:rPr>
                            </w:pPr>
                            <w:r w:rsidRPr="00FD246E">
                              <w:rPr>
                                <w:rFonts w:ascii="Century Gothic" w:hAnsi="Century Gothic"/>
                                <w:sz w:val="20"/>
                                <w:szCs w:val="20"/>
                              </w:rPr>
                              <w:t xml:space="preserve">OF INTEREST TO OTHER JUDGES: YES / </w:t>
                            </w:r>
                            <w:r w:rsidRPr="00FD246E">
                              <w:rPr>
                                <w:rFonts w:ascii="Century Gothic" w:hAnsi="Century Gothic"/>
                                <w:b/>
                                <w:bCs/>
                                <w:sz w:val="20"/>
                                <w:szCs w:val="20"/>
                              </w:rPr>
                              <w:t>NO</w:t>
                            </w:r>
                          </w:p>
                          <w:p w14:paraId="7FC36075" w14:textId="77777777" w:rsidR="008F4D89" w:rsidRPr="00FD246E" w:rsidRDefault="008F4D89" w:rsidP="008F4D89">
                            <w:pPr>
                              <w:numPr>
                                <w:ilvl w:val="0"/>
                                <w:numId w:val="3"/>
                              </w:numPr>
                              <w:spacing w:after="160"/>
                              <w:rPr>
                                <w:rFonts w:ascii="Century Gothic" w:hAnsi="Century Gothic"/>
                                <w:sz w:val="20"/>
                                <w:szCs w:val="20"/>
                              </w:rPr>
                            </w:pPr>
                            <w:r w:rsidRPr="00FD246E">
                              <w:rPr>
                                <w:rFonts w:ascii="Century Gothic" w:hAnsi="Century Gothic"/>
                                <w:sz w:val="20"/>
                                <w:szCs w:val="20"/>
                              </w:rPr>
                              <w:t>REVISED.</w:t>
                            </w:r>
                          </w:p>
                          <w:p w14:paraId="05586CFB" w14:textId="4405C39A" w:rsidR="008F4D89" w:rsidRPr="00FD246E" w:rsidRDefault="008F4D89" w:rsidP="008F4D89">
                            <w:pPr>
                              <w:rPr>
                                <w:rFonts w:ascii="Century Gothic" w:hAnsi="Century Gothic"/>
                                <w:b/>
                                <w:sz w:val="18"/>
                                <w:szCs w:val="18"/>
                              </w:rPr>
                            </w:pPr>
                            <w:r w:rsidRPr="00FD246E">
                              <w:rPr>
                                <w:rFonts w:ascii="Century Gothic" w:hAnsi="Century Gothic" w:cs="Arial"/>
                                <w:b/>
                                <w:sz w:val="18"/>
                                <w:szCs w:val="20"/>
                              </w:rPr>
                              <w:t xml:space="preserve">     </w:t>
                            </w:r>
                            <w:r>
                              <w:rPr>
                                <w:rFonts w:ascii="Century Gothic" w:hAnsi="Century Gothic" w:cs="Arial"/>
                                <w:b/>
                                <w:sz w:val="18"/>
                                <w:szCs w:val="20"/>
                              </w:rPr>
                              <w:t>03</w:t>
                            </w:r>
                            <w:r w:rsidRPr="00FD246E">
                              <w:rPr>
                                <w:rFonts w:ascii="Century Gothic" w:hAnsi="Century Gothic" w:cs="Arial"/>
                                <w:b/>
                                <w:sz w:val="18"/>
                                <w:szCs w:val="20"/>
                              </w:rPr>
                              <w:t>/0</w:t>
                            </w:r>
                            <w:r>
                              <w:rPr>
                                <w:rFonts w:ascii="Century Gothic" w:hAnsi="Century Gothic" w:cs="Arial"/>
                                <w:b/>
                                <w:sz w:val="18"/>
                                <w:szCs w:val="20"/>
                              </w:rPr>
                              <w:t>2</w:t>
                            </w:r>
                            <w:r w:rsidRPr="00FD246E">
                              <w:rPr>
                                <w:rFonts w:ascii="Century Gothic" w:hAnsi="Century Gothic" w:cs="Arial"/>
                                <w:b/>
                                <w:sz w:val="18"/>
                                <w:szCs w:val="20"/>
                              </w:rPr>
                              <w:t>/202</w:t>
                            </w:r>
                            <w:r>
                              <w:rPr>
                                <w:rFonts w:ascii="Century Gothic" w:hAnsi="Century Gothic" w:cs="Arial"/>
                                <w:b/>
                                <w:sz w:val="18"/>
                                <w:szCs w:val="20"/>
                              </w:rPr>
                              <w:t>5</w:t>
                            </w:r>
                            <w:r w:rsidRPr="00FD246E">
                              <w:rPr>
                                <w:rFonts w:ascii="Century Gothic" w:hAnsi="Century Gothic" w:cs="Arial"/>
                                <w:b/>
                                <w:sz w:val="18"/>
                                <w:szCs w:val="20"/>
                              </w:rPr>
                              <w:tab/>
                            </w:r>
                            <w:r w:rsidRPr="00FD246E">
                              <w:rPr>
                                <w:rFonts w:ascii="Century Gothic" w:hAnsi="Century Gothic" w:cs="Arial"/>
                                <w:b/>
                                <w:sz w:val="18"/>
                                <w:szCs w:val="20"/>
                              </w:rPr>
                              <w:tab/>
                            </w:r>
                            <w:r w:rsidRPr="00FD246E">
                              <w:rPr>
                                <w:rFonts w:ascii="Century Gothic" w:hAnsi="Century Gothic"/>
                                <w:b/>
                                <w:sz w:val="18"/>
                                <w:szCs w:val="18"/>
                              </w:rPr>
                              <w:tab/>
                              <w:t>_________________</w:t>
                            </w:r>
                          </w:p>
                          <w:p w14:paraId="2C59920E" w14:textId="77777777" w:rsidR="008F4D89" w:rsidRPr="00FD246E" w:rsidRDefault="008F4D89" w:rsidP="008F4D89">
                            <w:pPr>
                              <w:rPr>
                                <w:rFonts w:ascii="Century Gothic" w:hAnsi="Century Gothic"/>
                                <w:sz w:val="18"/>
                                <w:szCs w:val="18"/>
                              </w:rPr>
                            </w:pPr>
                            <w:r w:rsidRPr="00FD246E">
                              <w:rPr>
                                <w:rFonts w:ascii="Century Gothic" w:hAnsi="Century Gothic"/>
                                <w:sz w:val="18"/>
                                <w:szCs w:val="18"/>
                              </w:rPr>
                              <w:t xml:space="preserve">       DATE</w:t>
                            </w:r>
                            <w:r w:rsidRPr="00FD246E">
                              <w:rPr>
                                <w:rFonts w:ascii="Century Gothic" w:hAnsi="Century Gothic"/>
                                <w:sz w:val="18"/>
                                <w:szCs w:val="18"/>
                              </w:rPr>
                              <w:tab/>
                            </w:r>
                            <w:r w:rsidRPr="00FD246E">
                              <w:rPr>
                                <w:rFonts w:ascii="Century Gothic" w:hAnsi="Century Gothic"/>
                                <w:sz w:val="18"/>
                                <w:szCs w:val="18"/>
                              </w:rPr>
                              <w:tab/>
                            </w:r>
                            <w:r w:rsidRPr="00FD246E">
                              <w:rPr>
                                <w:rFonts w:ascii="Century Gothic" w:hAnsi="Century Gothic"/>
                                <w:sz w:val="18"/>
                                <w:szCs w:val="18"/>
                              </w:rPr>
                              <w:tab/>
                              <w:t xml:space="preserve">     SIGNATURE</w:t>
                            </w:r>
                          </w:p>
                        </w:txbxContent>
                      </wps:txbx>
                      <wps:bodyPr rot="0" vert="horz" wrap="square" lIns="91440" tIns="45720" rIns="91440" bIns="45720" anchor="t" anchorCtr="0" upright="1">
                        <a:noAutofit/>
                      </wps:bodyPr>
                    </wps:wsp>
                  </a:graphicData>
                </a:graphic>
              </wp:inline>
            </w:drawing>
          </mc:Choice>
          <mc:Fallback>
            <w:pict>
              <v:shapetype w14:anchorId="7BE4CD3A" id="_x0000_t202" coordsize="21600,21600" o:spt="202" path="m,l,21600r21600,l21600,xe">
                <v:stroke joinstyle="miter"/>
                <v:path gradientshapeok="t" o:connecttype="rect"/>
              </v:shapetype>
              <v:shape id="Text Box 5" o:spid="_x0000_s1026" type="#_x0000_t202" style="width:262pt;height:1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">
                <v:textbox>
                  <w:txbxContent>
                    <w:p w14:paraId="7E1C5AE1" w14:textId="77777777" w:rsidR="008F4D89" w:rsidRPr="00FD246E" w:rsidRDefault="008F4D89" w:rsidP="008F4D89">
                      <w:pPr>
                        <w:numPr>
                          <w:ilvl w:val="0"/>
                          <w:numId w:val="3"/>
                        </w:numPr>
                        <w:spacing w:before="240" w:after="160"/>
                        <w:rPr>
                          <w:rFonts w:ascii="Century Gothic" w:hAnsi="Century Gothic"/>
                          <w:sz w:val="20"/>
                          <w:szCs w:val="20"/>
                        </w:rPr>
                      </w:pPr>
                      <w:r w:rsidRPr="00FD246E">
                        <w:rPr>
                          <w:rFonts w:ascii="Century Gothic" w:hAnsi="Century Gothic"/>
                          <w:sz w:val="20"/>
                          <w:szCs w:val="20"/>
                        </w:rPr>
                        <w:t xml:space="preserve">REPORTABLE: YES / </w:t>
                      </w:r>
                      <w:r w:rsidRPr="00FD246E">
                        <w:rPr>
                          <w:rFonts w:ascii="Century Gothic" w:hAnsi="Century Gothic"/>
                          <w:b/>
                          <w:bCs/>
                          <w:sz w:val="20"/>
                          <w:szCs w:val="20"/>
                        </w:rPr>
                        <w:t>NO</w:t>
                      </w:r>
                    </w:p>
                    <w:p w14:paraId="20D75422" w14:textId="77777777" w:rsidR="008F4D89" w:rsidRPr="00FD246E" w:rsidRDefault="008F4D89" w:rsidP="008F4D89">
                      <w:pPr>
                        <w:numPr>
                          <w:ilvl w:val="0"/>
                          <w:numId w:val="3"/>
                        </w:numPr>
                        <w:spacing w:after="160"/>
                        <w:rPr>
                          <w:rFonts w:ascii="Century Gothic" w:hAnsi="Century Gothic"/>
                          <w:sz w:val="20"/>
                          <w:szCs w:val="20"/>
                        </w:rPr>
                      </w:pPr>
                      <w:r w:rsidRPr="00FD246E">
                        <w:rPr>
                          <w:rFonts w:ascii="Century Gothic" w:hAnsi="Century Gothic"/>
                          <w:sz w:val="20"/>
                          <w:szCs w:val="20"/>
                        </w:rPr>
                        <w:t xml:space="preserve">OF INTEREST TO OTHER JUDGES: YES / </w:t>
                      </w:r>
                      <w:r w:rsidRPr="00FD246E">
                        <w:rPr>
                          <w:rFonts w:ascii="Century Gothic" w:hAnsi="Century Gothic"/>
                          <w:b/>
                          <w:bCs/>
                          <w:sz w:val="20"/>
                          <w:szCs w:val="20"/>
                        </w:rPr>
                        <w:t>NO</w:t>
                      </w:r>
                    </w:p>
                    <w:p w14:paraId="7FC36075" w14:textId="77777777" w:rsidR="008F4D89" w:rsidRPr="00FD246E" w:rsidRDefault="008F4D89" w:rsidP="008F4D89">
                      <w:pPr>
                        <w:numPr>
                          <w:ilvl w:val="0"/>
                          <w:numId w:val="3"/>
                        </w:numPr>
                        <w:spacing w:after="160"/>
                        <w:rPr>
                          <w:rFonts w:ascii="Century Gothic" w:hAnsi="Century Gothic"/>
                          <w:sz w:val="20"/>
                          <w:szCs w:val="20"/>
                        </w:rPr>
                      </w:pPr>
                      <w:r w:rsidRPr="00FD246E">
                        <w:rPr>
                          <w:rFonts w:ascii="Century Gothic" w:hAnsi="Century Gothic"/>
                          <w:sz w:val="20"/>
                          <w:szCs w:val="20"/>
                        </w:rPr>
                        <w:t>REVISED.</w:t>
                      </w:r>
                    </w:p>
                    <w:p w14:paraId="05586CFB" w14:textId="4405C39A" w:rsidR="008F4D89" w:rsidRPr="00FD246E" w:rsidRDefault="008F4D89" w:rsidP="008F4D89">
                      <w:pPr>
                        <w:rPr>
                          <w:rFonts w:ascii="Century Gothic" w:hAnsi="Century Gothic"/>
                          <w:b/>
                          <w:sz w:val="18"/>
                          <w:szCs w:val="18"/>
                        </w:rPr>
                      </w:pPr>
                      <w:r w:rsidRPr="00FD246E">
                        <w:rPr>
                          <w:rFonts w:ascii="Century Gothic" w:hAnsi="Century Gothic" w:cs="Arial"/>
                          <w:b/>
                          <w:sz w:val="18"/>
                          <w:szCs w:val="20"/>
                        </w:rPr>
                        <w:t xml:space="preserve">     </w:t>
                      </w:r>
                      <w:r>
                        <w:rPr>
                          <w:rFonts w:ascii="Century Gothic" w:hAnsi="Century Gothic" w:cs="Arial"/>
                          <w:b/>
                          <w:sz w:val="18"/>
                          <w:szCs w:val="20"/>
                        </w:rPr>
                        <w:t>03</w:t>
                      </w:r>
                      <w:r w:rsidRPr="00FD246E">
                        <w:rPr>
                          <w:rFonts w:ascii="Century Gothic" w:hAnsi="Century Gothic" w:cs="Arial"/>
                          <w:b/>
                          <w:sz w:val="18"/>
                          <w:szCs w:val="20"/>
                        </w:rPr>
                        <w:t>/0</w:t>
                      </w:r>
                      <w:r>
                        <w:rPr>
                          <w:rFonts w:ascii="Century Gothic" w:hAnsi="Century Gothic" w:cs="Arial"/>
                          <w:b/>
                          <w:sz w:val="18"/>
                          <w:szCs w:val="20"/>
                        </w:rPr>
                        <w:t>2</w:t>
                      </w:r>
                      <w:r w:rsidRPr="00FD246E">
                        <w:rPr>
                          <w:rFonts w:ascii="Century Gothic" w:hAnsi="Century Gothic" w:cs="Arial"/>
                          <w:b/>
                          <w:sz w:val="18"/>
                          <w:szCs w:val="20"/>
                        </w:rPr>
                        <w:t>/202</w:t>
                      </w:r>
                      <w:r>
                        <w:rPr>
                          <w:rFonts w:ascii="Century Gothic" w:hAnsi="Century Gothic" w:cs="Arial"/>
                          <w:b/>
                          <w:sz w:val="18"/>
                          <w:szCs w:val="20"/>
                        </w:rPr>
                        <w:t>5</w:t>
                      </w:r>
                      <w:r w:rsidRPr="00FD246E">
                        <w:rPr>
                          <w:rFonts w:ascii="Century Gothic" w:hAnsi="Century Gothic" w:cs="Arial"/>
                          <w:b/>
                          <w:sz w:val="18"/>
                          <w:szCs w:val="20"/>
                        </w:rPr>
                        <w:tab/>
                      </w:r>
                      <w:r w:rsidRPr="00FD246E">
                        <w:rPr>
                          <w:rFonts w:ascii="Century Gothic" w:hAnsi="Century Gothic" w:cs="Arial"/>
                          <w:b/>
                          <w:sz w:val="18"/>
                          <w:szCs w:val="20"/>
                        </w:rPr>
                        <w:tab/>
                      </w:r>
                      <w:r w:rsidRPr="00FD246E">
                        <w:rPr>
                          <w:rFonts w:ascii="Century Gothic" w:hAnsi="Century Gothic"/>
                          <w:b/>
                          <w:sz w:val="18"/>
                          <w:szCs w:val="18"/>
                        </w:rPr>
                        <w:tab/>
                        <w:t>_________________</w:t>
                      </w:r>
                    </w:p>
                    <w:p w14:paraId="2C59920E" w14:textId="77777777" w:rsidR="008F4D89" w:rsidRPr="00FD246E" w:rsidRDefault="008F4D89" w:rsidP="008F4D89">
                      <w:pPr>
                        <w:rPr>
                          <w:rFonts w:ascii="Century Gothic" w:hAnsi="Century Gothic"/>
                          <w:sz w:val="18"/>
                          <w:szCs w:val="18"/>
                        </w:rPr>
                      </w:pPr>
                      <w:r w:rsidRPr="00FD246E">
                        <w:rPr>
                          <w:rFonts w:ascii="Century Gothic" w:hAnsi="Century Gothic"/>
                          <w:sz w:val="18"/>
                          <w:szCs w:val="18"/>
                        </w:rPr>
                        <w:t xml:space="preserve">       DATE</w:t>
                      </w:r>
                      <w:r w:rsidRPr="00FD246E">
                        <w:rPr>
                          <w:rFonts w:ascii="Century Gothic" w:hAnsi="Century Gothic"/>
                          <w:sz w:val="18"/>
                          <w:szCs w:val="18"/>
                        </w:rPr>
                        <w:tab/>
                      </w:r>
                      <w:r w:rsidRPr="00FD246E">
                        <w:rPr>
                          <w:rFonts w:ascii="Century Gothic" w:hAnsi="Century Gothic"/>
                          <w:sz w:val="18"/>
                          <w:szCs w:val="18"/>
                        </w:rPr>
                        <w:tab/>
                      </w:r>
                      <w:r w:rsidRPr="00FD246E">
                        <w:rPr>
                          <w:rFonts w:ascii="Century Gothic" w:hAnsi="Century Gothic"/>
                          <w:sz w:val="18"/>
                          <w:szCs w:val="18"/>
                        </w:rPr>
                        <w:tab/>
                        <w:t xml:space="preserve">     SIGNATURE</w:t>
                      </w:r>
                    </w:p>
                  </w:txbxContent>
                </v:textbox>
                <w10:anchorlock/>
              </v:shape>
            </w:pict>
          </mc:Fallback>
        </mc:AlternateContent>
      </w:r>
    </w:p>
    <w:p w14:paraId="54EDF24A" w14:textId="72929180" w:rsidR="00466311" w:rsidRPr="008F4D89" w:rsidRDefault="008F4D89" w:rsidP="008F4D89">
      <w:pPr>
        <w:keepNext/>
        <w:keepLines/>
        <w:spacing w:after="120" w:line="360" w:lineRule="auto"/>
        <w:rPr>
          <w:rFonts w:eastAsiaTheme="majorEastAsia" w:cs="Arial"/>
          <w:kern w:val="2"/>
          <w:sz w:val="22"/>
          <w:szCs w:val="22"/>
          <w:lang w:val="en-GB"/>
          <w14:ligatures w14:val="standardContextual"/>
        </w:rPr>
      </w:pPr>
      <w:r w:rsidRPr="008F4D89">
        <w:rPr>
          <w:rFonts w:eastAsiaTheme="majorEastAsia" w:cs="Arial"/>
          <w:kern w:val="2"/>
          <w:sz w:val="22"/>
          <w:szCs w:val="22"/>
          <w:lang w:val="en-GB"/>
          <w14:ligatures w14:val="standardContextual"/>
        </w:rPr>
        <w:t>In the matter between</w:t>
      </w:r>
      <w:r w:rsidR="00466311" w:rsidRPr="008F4D89">
        <w:rPr>
          <w:rFonts w:eastAsiaTheme="majorEastAsia" w:cs="Arial"/>
          <w:kern w:val="2"/>
          <w:sz w:val="22"/>
          <w:szCs w:val="22"/>
          <w:lang w:val="en-GB"/>
          <w14:ligatures w14:val="standardContextual"/>
        </w:rPr>
        <w:t>:</w:t>
      </w:r>
    </w:p>
    <w:p w14:paraId="61A96BCE" w14:textId="22185D74" w:rsidR="0019293F" w:rsidRPr="008F4D89" w:rsidRDefault="00FC584D" w:rsidP="008F4D89">
      <w:pPr>
        <w:widowControl w:val="0"/>
        <w:tabs>
          <w:tab w:val="right" w:pos="9027"/>
        </w:tabs>
        <w:spacing w:after="360" w:line="360" w:lineRule="auto"/>
        <w:rPr>
          <w:b/>
          <w:kern w:val="28"/>
          <w:sz w:val="22"/>
          <w:szCs w:val="22"/>
          <w:lang w:eastAsia="en-GB"/>
        </w:rPr>
      </w:pPr>
      <w:r>
        <w:rPr>
          <w:b/>
          <w:kern w:val="28"/>
          <w:sz w:val="22"/>
          <w:szCs w:val="22"/>
          <w:lang w:eastAsia="en-GB"/>
        </w:rPr>
        <w:t>FLOWER</w:t>
      </w:r>
      <w:r w:rsidR="001A1E8E" w:rsidRPr="008C4B39">
        <w:rPr>
          <w:b/>
          <w:kern w:val="28"/>
          <w:sz w:val="22"/>
          <w:szCs w:val="22"/>
          <w:lang w:eastAsia="en-GB"/>
        </w:rPr>
        <w:t xml:space="preserve"> </w:t>
      </w:r>
      <w:r w:rsidR="009F0884">
        <w:rPr>
          <w:b/>
          <w:kern w:val="28"/>
          <w:sz w:val="22"/>
          <w:szCs w:val="22"/>
          <w:lang w:eastAsia="en-GB"/>
        </w:rPr>
        <w:tab/>
      </w:r>
      <w:r w:rsidR="001A1E8E" w:rsidRPr="008C4B39">
        <w:rPr>
          <w:rFonts w:cs="Arial"/>
          <w:sz w:val="22"/>
          <w:szCs w:val="22"/>
        </w:rPr>
        <w:t>Appellant</w:t>
      </w:r>
    </w:p>
    <w:p w14:paraId="43554342" w14:textId="2FD9258A" w:rsidR="00466311" w:rsidRPr="008C4B39" w:rsidRDefault="00C57EDF" w:rsidP="008F4D89">
      <w:pPr>
        <w:widowControl w:val="0"/>
        <w:tabs>
          <w:tab w:val="right" w:pos="9027"/>
        </w:tabs>
        <w:spacing w:after="360" w:line="360" w:lineRule="auto"/>
        <w:rPr>
          <w:rFonts w:cs="Arial"/>
          <w:sz w:val="22"/>
          <w:szCs w:val="22"/>
        </w:rPr>
      </w:pPr>
      <w:r w:rsidRPr="008C4B39">
        <w:rPr>
          <w:rFonts w:cs="Arial"/>
          <w:sz w:val="22"/>
          <w:szCs w:val="22"/>
        </w:rPr>
        <w:t>a</w:t>
      </w:r>
      <w:r w:rsidR="00466311" w:rsidRPr="008C4B39">
        <w:rPr>
          <w:rFonts w:cs="Arial"/>
          <w:sz w:val="22"/>
          <w:szCs w:val="22"/>
        </w:rPr>
        <w:t>nd</w:t>
      </w:r>
    </w:p>
    <w:p w14:paraId="65EEBE53" w14:textId="7F0A41BC" w:rsidR="00070BE1" w:rsidRDefault="001A1E8E" w:rsidP="008F4D89">
      <w:pPr>
        <w:widowControl w:val="0"/>
        <w:tabs>
          <w:tab w:val="right" w:pos="9027"/>
        </w:tabs>
        <w:spacing w:line="360" w:lineRule="auto"/>
        <w:rPr>
          <w:rFonts w:cs="Arial"/>
          <w:b/>
          <w:sz w:val="22"/>
          <w:szCs w:val="22"/>
        </w:rPr>
      </w:pPr>
      <w:r w:rsidRPr="008C4B39">
        <w:rPr>
          <w:rFonts w:cs="Arial"/>
          <w:b/>
          <w:sz w:val="22"/>
          <w:szCs w:val="22"/>
        </w:rPr>
        <w:t>THE COMMISSIONER FOR THE</w:t>
      </w:r>
      <w:r w:rsidR="008F4D89" w:rsidRPr="008F4D89">
        <w:rPr>
          <w:rFonts w:cs="Arial"/>
          <w:sz w:val="22"/>
          <w:szCs w:val="22"/>
        </w:rPr>
        <w:t xml:space="preserve"> </w:t>
      </w:r>
      <w:r w:rsidR="008F4D89">
        <w:rPr>
          <w:rFonts w:cs="Arial"/>
          <w:sz w:val="22"/>
          <w:szCs w:val="22"/>
        </w:rPr>
        <w:tab/>
      </w:r>
      <w:r w:rsidR="008F4D89" w:rsidRPr="008C4B39">
        <w:rPr>
          <w:rFonts w:cs="Arial"/>
          <w:sz w:val="22"/>
          <w:szCs w:val="22"/>
        </w:rPr>
        <w:t>Respondent</w:t>
      </w:r>
    </w:p>
    <w:p w14:paraId="21E51094" w14:textId="620EC527" w:rsidR="00466311" w:rsidRPr="008C4B39" w:rsidRDefault="008F4D89" w:rsidP="008F4D89">
      <w:pPr>
        <w:widowControl w:val="0"/>
        <w:tabs>
          <w:tab w:val="right" w:pos="9027"/>
        </w:tabs>
        <w:spacing w:line="360" w:lineRule="auto"/>
        <w:rPr>
          <w:rFonts w:cs="Arial"/>
          <w:sz w:val="22"/>
          <w:szCs w:val="22"/>
        </w:rPr>
      </w:pPr>
      <w:r>
        <w:rPr>
          <w:rFonts w:cs="Arial"/>
          <w:b/>
          <w:sz w:val="22"/>
          <w:szCs w:val="22"/>
        </w:rPr>
        <w:t xml:space="preserve">SOUTH AFRICAN </w:t>
      </w:r>
      <w:r w:rsidR="001A1E8E" w:rsidRPr="008C4B39">
        <w:rPr>
          <w:rFonts w:cs="Arial"/>
          <w:b/>
          <w:sz w:val="22"/>
          <w:szCs w:val="22"/>
        </w:rPr>
        <w:t>REVENUE SERVICE</w:t>
      </w:r>
      <w:r w:rsidR="00466311" w:rsidRPr="008C4B39">
        <w:rPr>
          <w:rFonts w:cs="Arial"/>
          <w:b/>
          <w:sz w:val="22"/>
          <w:szCs w:val="22"/>
        </w:rPr>
        <w:tab/>
      </w:r>
    </w:p>
    <w:p w14:paraId="1645D272" w14:textId="77777777" w:rsidR="008F4D89" w:rsidRPr="00FD246E" w:rsidRDefault="008F4D89" w:rsidP="008F4D89">
      <w:pPr>
        <w:pStyle w:val="BodyA"/>
        <w:pBdr>
          <w:bottom w:val="single" w:sz="6" w:space="1" w:color="auto"/>
        </w:pBdr>
        <w:suppressAutoHyphens/>
        <w:spacing w:line="360" w:lineRule="auto"/>
        <w:rPr>
          <w:rFonts w:cs="Arial"/>
          <w:lang w:val="en-GB"/>
        </w:rPr>
      </w:pPr>
    </w:p>
    <w:p w14:paraId="0FA7178A" w14:textId="77777777" w:rsidR="008F4D89" w:rsidRPr="00FD246E" w:rsidRDefault="008F4D89" w:rsidP="008F4D89">
      <w:pPr>
        <w:pBdr>
          <w:bottom w:val="single" w:sz="6" w:space="1" w:color="auto"/>
        </w:pBdr>
        <w:spacing w:after="120" w:line="360" w:lineRule="auto"/>
        <w:jc w:val="center"/>
        <w:textAlignment w:val="baseline"/>
        <w:rPr>
          <w:rFonts w:eastAsia="Arial" w:cs="Arial"/>
          <w:b/>
          <w:color w:val="000000"/>
          <w:spacing w:val="120"/>
          <w:kern w:val="28"/>
          <w:sz w:val="28"/>
          <w:lang w:eastAsia="en-GB"/>
        </w:rPr>
      </w:pPr>
    </w:p>
    <w:p w14:paraId="183EBE7C" w14:textId="77777777" w:rsidR="008F4D89" w:rsidRPr="00FD246E" w:rsidRDefault="008F4D89" w:rsidP="008F4D89">
      <w:pPr>
        <w:pBdr>
          <w:bottom w:val="single" w:sz="6" w:space="1" w:color="auto"/>
        </w:pBdr>
        <w:spacing w:after="120" w:line="360" w:lineRule="auto"/>
        <w:jc w:val="center"/>
        <w:textAlignment w:val="baseline"/>
        <w:rPr>
          <w:rFonts w:eastAsia="Arial" w:cs="Arial"/>
          <w:b/>
          <w:color w:val="000000"/>
          <w:spacing w:val="120"/>
          <w:kern w:val="28"/>
          <w:sz w:val="28"/>
          <w:lang w:eastAsia="en-GB"/>
        </w:rPr>
      </w:pPr>
      <w:r w:rsidRPr="00FD246E">
        <w:rPr>
          <w:rFonts w:eastAsia="Arial" w:cs="Arial"/>
          <w:b/>
          <w:color w:val="000000"/>
          <w:spacing w:val="120"/>
          <w:kern w:val="28"/>
          <w:sz w:val="28"/>
          <w:lang w:eastAsia="en-GB"/>
        </w:rPr>
        <w:t>JUDGMENT</w:t>
      </w:r>
    </w:p>
    <w:p w14:paraId="3A1E5B1C" w14:textId="77777777" w:rsidR="008F4D89" w:rsidRPr="00FD246E" w:rsidRDefault="008F4D89" w:rsidP="008F4D89">
      <w:pPr>
        <w:pBdr>
          <w:bottom w:val="single" w:sz="6" w:space="1" w:color="auto"/>
        </w:pBdr>
        <w:spacing w:line="360" w:lineRule="auto"/>
        <w:jc w:val="center"/>
        <w:textAlignment w:val="baseline"/>
        <w:rPr>
          <w:rFonts w:eastAsia="Arial" w:cs="Arial"/>
          <w:b/>
          <w:color w:val="000000"/>
          <w:spacing w:val="120"/>
          <w:kern w:val="28"/>
          <w:sz w:val="28"/>
          <w:lang w:eastAsia="en-GB"/>
        </w:rPr>
      </w:pPr>
    </w:p>
    <w:p w14:paraId="44873E45" w14:textId="14079283" w:rsidR="00466311" w:rsidRPr="008C4B39" w:rsidRDefault="001A1E8E" w:rsidP="006170DF">
      <w:pPr>
        <w:keepNext/>
        <w:pageBreakBefore/>
        <w:spacing w:after="120"/>
        <w:rPr>
          <w:rFonts w:cs="Arial"/>
          <w:b/>
          <w:sz w:val="22"/>
          <w:szCs w:val="22"/>
        </w:rPr>
      </w:pPr>
      <w:r w:rsidRPr="008C4B39">
        <w:rPr>
          <w:rFonts w:cs="Arial"/>
          <w:b/>
          <w:sz w:val="22"/>
          <w:szCs w:val="22"/>
        </w:rPr>
        <w:lastRenderedPageBreak/>
        <w:t>CRUTCHFIELD, J</w:t>
      </w:r>
    </w:p>
    <w:p w14:paraId="64F3A6AF" w14:textId="4423BD04" w:rsidR="00BE64A5" w:rsidRPr="008C4B39" w:rsidRDefault="001A1E8E" w:rsidP="0022206B">
      <w:pPr>
        <w:pStyle w:val="JudgmentNumbered"/>
        <w:keepNext/>
        <w:ind w:left="0" w:firstLine="0"/>
        <w:rPr>
          <w:sz w:val="22"/>
        </w:rPr>
      </w:pPr>
      <w:r w:rsidRPr="008C4B39">
        <w:rPr>
          <w:sz w:val="22"/>
        </w:rPr>
        <w:t xml:space="preserve">The appellant, </w:t>
      </w:r>
      <w:r w:rsidR="00181CE6">
        <w:rPr>
          <w:sz w:val="22"/>
        </w:rPr>
        <w:t>Flower</w:t>
      </w:r>
      <w:r w:rsidRPr="008C4B39">
        <w:rPr>
          <w:sz w:val="22"/>
        </w:rPr>
        <w:t xml:space="preserve"> (“</w:t>
      </w:r>
      <w:r w:rsidR="00FE459D">
        <w:rPr>
          <w:sz w:val="22"/>
        </w:rPr>
        <w:t>Flower</w:t>
      </w:r>
      <w:r w:rsidRPr="008C4B39">
        <w:rPr>
          <w:sz w:val="22"/>
        </w:rPr>
        <w:t xml:space="preserve">” alternatively “the taxpayer”), appeals in terms of </w:t>
      </w:r>
      <w:r w:rsidR="006170DF">
        <w:rPr>
          <w:sz w:val="22"/>
        </w:rPr>
        <w:t>r</w:t>
      </w:r>
      <w:r w:rsidRPr="008C4B39">
        <w:rPr>
          <w:sz w:val="22"/>
        </w:rPr>
        <w:t>ule</w:t>
      </w:r>
      <w:r w:rsidR="006170DF">
        <w:rPr>
          <w:sz w:val="22"/>
        </w:rPr>
        <w:t> </w:t>
      </w:r>
      <w:r w:rsidRPr="008C4B39">
        <w:rPr>
          <w:sz w:val="22"/>
        </w:rPr>
        <w:t>56(1)(</w:t>
      </w:r>
      <w:r w:rsidRPr="006170DF">
        <w:rPr>
          <w:i/>
          <w:iCs/>
          <w:sz w:val="22"/>
        </w:rPr>
        <w:t>a</w:t>
      </w:r>
      <w:r w:rsidRPr="008C4B39">
        <w:rPr>
          <w:sz w:val="22"/>
        </w:rPr>
        <w:t>)</w:t>
      </w:r>
      <w:r w:rsidR="00BE64A5" w:rsidRPr="008C4B39">
        <w:rPr>
          <w:sz w:val="22"/>
        </w:rPr>
        <w:t xml:space="preserve">. Before me, </w:t>
      </w:r>
      <w:r w:rsidR="00F71BC7">
        <w:rPr>
          <w:sz w:val="22"/>
        </w:rPr>
        <w:t>Flower</w:t>
      </w:r>
      <w:r w:rsidR="00BE64A5" w:rsidRPr="008C4B39">
        <w:rPr>
          <w:sz w:val="22"/>
        </w:rPr>
        <w:t xml:space="preserve"> claims</w:t>
      </w:r>
      <w:r w:rsidRPr="008C4B39">
        <w:rPr>
          <w:sz w:val="22"/>
        </w:rPr>
        <w:t xml:space="preserve"> an order in terms </w:t>
      </w:r>
      <w:r w:rsidR="00916C9E" w:rsidRPr="008C4B39">
        <w:rPr>
          <w:sz w:val="22"/>
        </w:rPr>
        <w:t>s</w:t>
      </w:r>
      <w:r w:rsidRPr="008C4B39">
        <w:rPr>
          <w:sz w:val="22"/>
        </w:rPr>
        <w:t xml:space="preserve">129(2) of the Tax Administration Act, 2011, </w:t>
      </w:r>
      <w:r w:rsidR="00BE64A5" w:rsidRPr="008C4B39">
        <w:rPr>
          <w:sz w:val="22"/>
        </w:rPr>
        <w:t>for</w:t>
      </w:r>
      <w:r w:rsidRPr="008C4B39">
        <w:rPr>
          <w:sz w:val="22"/>
        </w:rPr>
        <w:t xml:space="preserve"> the alteration of the additional assessment dated 13 December 2018, alternatively, the setting aside of SARS’</w:t>
      </w:r>
      <w:r w:rsidR="006170DF">
        <w:rPr>
          <w:sz w:val="22"/>
        </w:rPr>
        <w:t>s</w:t>
      </w:r>
      <w:r w:rsidRPr="008C4B39">
        <w:rPr>
          <w:sz w:val="22"/>
        </w:rPr>
        <w:t xml:space="preserve"> </w:t>
      </w:r>
      <w:r w:rsidR="006170DF">
        <w:rPr>
          <w:sz w:val="22"/>
        </w:rPr>
        <w:t>r</w:t>
      </w:r>
      <w:r w:rsidRPr="008C4B39">
        <w:rPr>
          <w:sz w:val="22"/>
        </w:rPr>
        <w:t>ule</w:t>
      </w:r>
      <w:r w:rsidR="006170DF">
        <w:rPr>
          <w:sz w:val="22"/>
        </w:rPr>
        <w:t> </w:t>
      </w:r>
      <w:r w:rsidRPr="008C4B39">
        <w:rPr>
          <w:sz w:val="22"/>
        </w:rPr>
        <w:t xml:space="preserve">31 statement and ordering SARS to deliver a </w:t>
      </w:r>
      <w:r w:rsidR="006170DF">
        <w:rPr>
          <w:sz w:val="22"/>
        </w:rPr>
        <w:t>r</w:t>
      </w:r>
      <w:r w:rsidRPr="008C4B39">
        <w:rPr>
          <w:sz w:val="22"/>
        </w:rPr>
        <w:t>ule</w:t>
      </w:r>
      <w:r w:rsidR="006170DF">
        <w:rPr>
          <w:sz w:val="22"/>
        </w:rPr>
        <w:t> </w:t>
      </w:r>
      <w:r w:rsidRPr="008C4B39">
        <w:rPr>
          <w:sz w:val="22"/>
        </w:rPr>
        <w:t xml:space="preserve">31 statement that complies with </w:t>
      </w:r>
      <w:r w:rsidR="006170DF">
        <w:rPr>
          <w:sz w:val="22"/>
        </w:rPr>
        <w:t>r</w:t>
      </w:r>
      <w:r w:rsidRPr="008C4B39">
        <w:rPr>
          <w:sz w:val="22"/>
        </w:rPr>
        <w:t>ule</w:t>
      </w:r>
      <w:r w:rsidR="006170DF">
        <w:rPr>
          <w:sz w:val="22"/>
        </w:rPr>
        <w:t> </w:t>
      </w:r>
      <w:r w:rsidRPr="008C4B39">
        <w:rPr>
          <w:sz w:val="22"/>
        </w:rPr>
        <w:t xml:space="preserve">31(3) and ancillary relief, including costs of the appeal. </w:t>
      </w:r>
    </w:p>
    <w:p w14:paraId="33359AF6" w14:textId="122065C4" w:rsidR="00466311" w:rsidRPr="008C4B39" w:rsidRDefault="001A1E8E" w:rsidP="00F145CE">
      <w:pPr>
        <w:pStyle w:val="JudgmentNumbered"/>
        <w:ind w:left="0" w:firstLine="0"/>
        <w:rPr>
          <w:sz w:val="22"/>
        </w:rPr>
      </w:pPr>
      <w:r w:rsidRPr="008C4B39">
        <w:rPr>
          <w:sz w:val="22"/>
        </w:rPr>
        <w:t>The respondent, the Commissioner for the South African Revenue Service (“SARS”), opposes this matter</w:t>
      </w:r>
      <w:r w:rsidR="00023A84" w:rsidRPr="008C4B39">
        <w:rPr>
          <w:sz w:val="22"/>
        </w:rPr>
        <w:t>,</w:t>
      </w:r>
      <w:r w:rsidRPr="008C4B39">
        <w:rPr>
          <w:sz w:val="22"/>
        </w:rPr>
        <w:t xml:space="preserve"> brought as an interlocutory application by the appellant in the appeal against the respondent. For the sake of clarity</w:t>
      </w:r>
      <w:r w:rsidR="00BE64A5" w:rsidRPr="008C4B39">
        <w:rPr>
          <w:sz w:val="22"/>
        </w:rPr>
        <w:t>,</w:t>
      </w:r>
      <w:r w:rsidRPr="008C4B39">
        <w:rPr>
          <w:sz w:val="22"/>
        </w:rPr>
        <w:t xml:space="preserve"> the matter before me comprises an interlocutory application in the appeal </w:t>
      </w:r>
      <w:r w:rsidR="00BE64A5" w:rsidRPr="008C4B39">
        <w:rPr>
          <w:sz w:val="22"/>
        </w:rPr>
        <w:t xml:space="preserve">proceedings </w:t>
      </w:r>
      <w:r w:rsidRPr="008C4B39">
        <w:rPr>
          <w:sz w:val="22"/>
        </w:rPr>
        <w:t xml:space="preserve">brought by the appellant against the respondent. </w:t>
      </w:r>
    </w:p>
    <w:p w14:paraId="2A86ACE1" w14:textId="1DD58077" w:rsidR="001A1E8E" w:rsidRPr="008C4B39" w:rsidRDefault="00F71BC7" w:rsidP="00F145CE">
      <w:pPr>
        <w:pStyle w:val="JudgmentNumbered"/>
        <w:ind w:left="0" w:firstLine="0"/>
        <w:rPr>
          <w:sz w:val="22"/>
        </w:rPr>
      </w:pPr>
      <w:r>
        <w:rPr>
          <w:sz w:val="22"/>
        </w:rPr>
        <w:t>Flower</w:t>
      </w:r>
      <w:r w:rsidR="001A1E8E" w:rsidRPr="008C4B39">
        <w:rPr>
          <w:sz w:val="22"/>
        </w:rPr>
        <w:t>’s complaint is that SARS’</w:t>
      </w:r>
      <w:r w:rsidR="006170DF">
        <w:rPr>
          <w:sz w:val="22"/>
        </w:rPr>
        <w:t>s</w:t>
      </w:r>
      <w:r w:rsidR="001A1E8E" w:rsidRPr="008C4B39">
        <w:rPr>
          <w:sz w:val="22"/>
        </w:rPr>
        <w:t xml:space="preserve"> </w:t>
      </w:r>
      <w:r w:rsidR="006170DF">
        <w:rPr>
          <w:sz w:val="22"/>
        </w:rPr>
        <w:t>r</w:t>
      </w:r>
      <w:r w:rsidR="001A1E8E" w:rsidRPr="008C4B39">
        <w:rPr>
          <w:sz w:val="22"/>
        </w:rPr>
        <w:t>ule</w:t>
      </w:r>
      <w:r w:rsidR="006170DF">
        <w:rPr>
          <w:sz w:val="22"/>
        </w:rPr>
        <w:t> </w:t>
      </w:r>
      <w:r w:rsidR="001A1E8E" w:rsidRPr="008C4B39">
        <w:rPr>
          <w:sz w:val="22"/>
        </w:rPr>
        <w:t xml:space="preserve">31 statement does not comply with </w:t>
      </w:r>
      <w:r w:rsidR="006170DF">
        <w:rPr>
          <w:sz w:val="22"/>
        </w:rPr>
        <w:t>r</w:t>
      </w:r>
      <w:r w:rsidR="001A1E8E" w:rsidRPr="008C4B39">
        <w:rPr>
          <w:sz w:val="22"/>
        </w:rPr>
        <w:t xml:space="preserve">ule 31(3) of the Tax Administration Act, which prohibits new grounds in a </w:t>
      </w:r>
      <w:r w:rsidR="006170DF">
        <w:rPr>
          <w:sz w:val="22"/>
        </w:rPr>
        <w:t>r</w:t>
      </w:r>
      <w:r w:rsidR="001A1E8E" w:rsidRPr="008C4B39">
        <w:rPr>
          <w:sz w:val="22"/>
        </w:rPr>
        <w:t xml:space="preserve">ule 31 statement that constitute a novation of the whole of the factual or legal basis of the </w:t>
      </w:r>
      <w:r w:rsidR="00024BC0" w:rsidRPr="008C4B39">
        <w:rPr>
          <w:sz w:val="22"/>
        </w:rPr>
        <w:t>assessment or</w:t>
      </w:r>
      <w:r w:rsidR="001A1E8E" w:rsidRPr="008C4B39">
        <w:rPr>
          <w:sz w:val="22"/>
        </w:rPr>
        <w:t xml:space="preserve"> requires the issue of a revised assessment. </w:t>
      </w:r>
    </w:p>
    <w:p w14:paraId="0BA30198" w14:textId="74BB1AF4" w:rsidR="001A1E8E" w:rsidRPr="008C4B39" w:rsidRDefault="001A1E8E" w:rsidP="00F145CE">
      <w:pPr>
        <w:pStyle w:val="JudgmentNumbered"/>
        <w:ind w:left="0" w:firstLine="0"/>
        <w:rPr>
          <w:sz w:val="22"/>
        </w:rPr>
      </w:pPr>
      <w:r w:rsidRPr="008C4B39">
        <w:rPr>
          <w:sz w:val="22"/>
        </w:rPr>
        <w:t xml:space="preserve">SARS alleges that it did not introduce new grounds in </w:t>
      </w:r>
      <w:r w:rsidR="002229FB" w:rsidRPr="008C4B39">
        <w:rPr>
          <w:sz w:val="22"/>
        </w:rPr>
        <w:t>its</w:t>
      </w:r>
      <w:r w:rsidRPr="008C4B39">
        <w:rPr>
          <w:sz w:val="22"/>
        </w:rPr>
        <w:t xml:space="preserve"> </w:t>
      </w:r>
      <w:r w:rsidR="006170DF">
        <w:rPr>
          <w:sz w:val="22"/>
        </w:rPr>
        <w:t>r</w:t>
      </w:r>
      <w:r w:rsidRPr="008C4B39">
        <w:rPr>
          <w:sz w:val="22"/>
        </w:rPr>
        <w:t>ule</w:t>
      </w:r>
      <w:r w:rsidR="006170DF">
        <w:rPr>
          <w:sz w:val="22"/>
        </w:rPr>
        <w:t> </w:t>
      </w:r>
      <w:r w:rsidRPr="008C4B39">
        <w:rPr>
          <w:sz w:val="22"/>
        </w:rPr>
        <w:t xml:space="preserve">31 statement but simply </w:t>
      </w:r>
      <w:r w:rsidR="00D2118E" w:rsidRPr="008C4B39">
        <w:rPr>
          <w:sz w:val="22"/>
        </w:rPr>
        <w:t xml:space="preserve">amplified </w:t>
      </w:r>
      <w:r w:rsidR="002229FB" w:rsidRPr="008C4B39">
        <w:rPr>
          <w:sz w:val="22"/>
        </w:rPr>
        <w:t>its</w:t>
      </w:r>
      <w:r w:rsidR="00D2118E" w:rsidRPr="008C4B39">
        <w:rPr>
          <w:sz w:val="22"/>
        </w:rPr>
        <w:t xml:space="preserve"> position on why the </w:t>
      </w:r>
      <w:r w:rsidR="006170DF">
        <w:rPr>
          <w:sz w:val="22"/>
        </w:rPr>
        <w:t>s</w:t>
      </w:r>
      <w:r w:rsidR="00D2118E" w:rsidRPr="008C4B39">
        <w:rPr>
          <w:sz w:val="22"/>
        </w:rPr>
        <w:t>ection</w:t>
      </w:r>
      <w:r w:rsidR="006170DF">
        <w:rPr>
          <w:sz w:val="22"/>
        </w:rPr>
        <w:t> </w:t>
      </w:r>
      <w:r w:rsidR="00D2118E" w:rsidRPr="008C4B39">
        <w:rPr>
          <w:sz w:val="22"/>
        </w:rPr>
        <w:t xml:space="preserve">11A pre-trade expenditure had not been shown satisfactorily to not be capital in nature. </w:t>
      </w:r>
    </w:p>
    <w:p w14:paraId="0780CD22" w14:textId="3C40839E" w:rsidR="00D2118E" w:rsidRPr="008C4B39" w:rsidRDefault="00F71BC7" w:rsidP="00F145CE">
      <w:pPr>
        <w:pStyle w:val="JudgmentNumbered"/>
        <w:ind w:left="0" w:firstLine="0"/>
        <w:rPr>
          <w:sz w:val="22"/>
        </w:rPr>
      </w:pPr>
      <w:r>
        <w:rPr>
          <w:sz w:val="22"/>
        </w:rPr>
        <w:t>Flower</w:t>
      </w:r>
      <w:r w:rsidR="00D2118E" w:rsidRPr="008C4B39">
        <w:rPr>
          <w:sz w:val="22"/>
        </w:rPr>
        <w:t xml:space="preserve"> is an independent power producer operating a solar photovoltaic electricity generation farm (“the solar facility”) in the Northern Cape Province. </w:t>
      </w:r>
      <w:r>
        <w:rPr>
          <w:sz w:val="22"/>
        </w:rPr>
        <w:t>Flower</w:t>
      </w:r>
      <w:r w:rsidR="00D2118E" w:rsidRPr="008C4B39">
        <w:rPr>
          <w:sz w:val="22"/>
        </w:rPr>
        <w:t xml:space="preserve">’s income results from a single trade, the sale of energy generated by </w:t>
      </w:r>
      <w:r>
        <w:rPr>
          <w:sz w:val="22"/>
        </w:rPr>
        <w:t>Flower</w:t>
      </w:r>
      <w:r w:rsidR="00D2118E" w:rsidRPr="008C4B39">
        <w:rPr>
          <w:sz w:val="22"/>
        </w:rPr>
        <w:t xml:space="preserve"> through the solar facility</w:t>
      </w:r>
      <w:r w:rsidR="00023A84" w:rsidRPr="008C4B39">
        <w:rPr>
          <w:sz w:val="22"/>
        </w:rPr>
        <w:t>,</w:t>
      </w:r>
      <w:r w:rsidR="00D2118E" w:rsidRPr="008C4B39">
        <w:rPr>
          <w:sz w:val="22"/>
        </w:rPr>
        <w:t xml:space="preserve"> to Eskom Holdings Society Limited (“Eskom”). </w:t>
      </w:r>
    </w:p>
    <w:p w14:paraId="734A4B91" w14:textId="63AE7C73" w:rsidR="00D2118E" w:rsidRPr="008C4B39" w:rsidRDefault="00F71BC7" w:rsidP="00F145CE">
      <w:pPr>
        <w:pStyle w:val="JudgmentNumbered"/>
        <w:ind w:left="0" w:firstLine="0"/>
        <w:rPr>
          <w:sz w:val="22"/>
        </w:rPr>
      </w:pPr>
      <w:r>
        <w:rPr>
          <w:sz w:val="22"/>
        </w:rPr>
        <w:t>Flower</w:t>
      </w:r>
      <w:r w:rsidR="00364EF9" w:rsidRPr="008C4B39">
        <w:rPr>
          <w:sz w:val="22"/>
        </w:rPr>
        <w:t>’s solar facility commence</w:t>
      </w:r>
      <w:r w:rsidR="00023A84" w:rsidRPr="008C4B39">
        <w:rPr>
          <w:sz w:val="22"/>
        </w:rPr>
        <w:t>d</w:t>
      </w:r>
      <w:r w:rsidR="00364EF9" w:rsidRPr="008C4B39">
        <w:rPr>
          <w:sz w:val="22"/>
        </w:rPr>
        <w:t xml:space="preserve"> operating on 21 May 2014. </w:t>
      </w:r>
      <w:r>
        <w:rPr>
          <w:sz w:val="22"/>
        </w:rPr>
        <w:t>Flower</w:t>
      </w:r>
      <w:r w:rsidR="00364EF9" w:rsidRPr="008C4B39">
        <w:rPr>
          <w:sz w:val="22"/>
        </w:rPr>
        <w:t xml:space="preserve">, at that stage, started earning revenue from its trading activities, being the sale of energy to its single client, Eskom. </w:t>
      </w:r>
    </w:p>
    <w:p w14:paraId="0441FF0D" w14:textId="38CE23E9" w:rsidR="00364EF9" w:rsidRPr="008C4B39" w:rsidRDefault="00364EF9" w:rsidP="00F145CE">
      <w:pPr>
        <w:pStyle w:val="JudgmentNumbered"/>
        <w:ind w:left="0" w:firstLine="0"/>
        <w:rPr>
          <w:sz w:val="22"/>
        </w:rPr>
      </w:pPr>
      <w:r w:rsidRPr="008C4B39">
        <w:rPr>
          <w:sz w:val="22"/>
        </w:rPr>
        <w:t xml:space="preserve">Prior to </w:t>
      </w:r>
      <w:r w:rsidR="00F71BC7">
        <w:rPr>
          <w:sz w:val="22"/>
        </w:rPr>
        <w:t>Flower</w:t>
      </w:r>
      <w:r w:rsidRPr="008C4B39">
        <w:rPr>
          <w:sz w:val="22"/>
        </w:rPr>
        <w:t xml:space="preserve"> commencing its trading activities, </w:t>
      </w:r>
      <w:r w:rsidR="00F71BC7">
        <w:rPr>
          <w:sz w:val="22"/>
        </w:rPr>
        <w:t>Flower</w:t>
      </w:r>
      <w:r w:rsidRPr="008C4B39">
        <w:rPr>
          <w:sz w:val="22"/>
        </w:rPr>
        <w:t xml:space="preserve"> incurred significant expenditure in the construction, erection and establishment of the solar facility. This included not only raising loans and financial credit facilities necessary to fund the initial capital outlay required to reach the position from which </w:t>
      </w:r>
      <w:r w:rsidR="00F71BC7">
        <w:rPr>
          <w:sz w:val="22"/>
        </w:rPr>
        <w:t>Flower</w:t>
      </w:r>
      <w:r w:rsidRPr="008C4B39">
        <w:rPr>
          <w:sz w:val="22"/>
        </w:rPr>
        <w:t xml:space="preserve"> could begin its trading activities. </w:t>
      </w:r>
      <w:r w:rsidR="00F71BC7">
        <w:rPr>
          <w:sz w:val="22"/>
        </w:rPr>
        <w:t>Flower</w:t>
      </w:r>
      <w:r w:rsidRPr="008C4B39">
        <w:rPr>
          <w:sz w:val="22"/>
        </w:rPr>
        <w:t xml:space="preserve">, in terms of its revised tax return for the 2014 tax year, deducted certain expenditure incurred prior to the commencement of its trading activities and in preparation for the carrying </w:t>
      </w:r>
      <w:r w:rsidR="00912E76" w:rsidRPr="008C4B39">
        <w:rPr>
          <w:sz w:val="22"/>
        </w:rPr>
        <w:t xml:space="preserve">on </w:t>
      </w:r>
      <w:r w:rsidRPr="008C4B39">
        <w:rPr>
          <w:sz w:val="22"/>
        </w:rPr>
        <w:t>of its trading activities, described as “development fees”, in the sum of R320 984</w:t>
      </w:r>
      <w:r w:rsidR="00912E76" w:rsidRPr="008C4B39">
        <w:rPr>
          <w:sz w:val="22"/>
        </w:rPr>
        <w:t> </w:t>
      </w:r>
      <w:r w:rsidRPr="008C4B39">
        <w:rPr>
          <w:sz w:val="22"/>
        </w:rPr>
        <w:t>903</w:t>
      </w:r>
      <w:r w:rsidR="00912E76" w:rsidRPr="008C4B39">
        <w:rPr>
          <w:sz w:val="22"/>
        </w:rPr>
        <w:t>.00</w:t>
      </w:r>
      <w:r w:rsidRPr="008C4B39">
        <w:rPr>
          <w:sz w:val="22"/>
        </w:rPr>
        <w:t xml:space="preserve"> (“the development fees”). </w:t>
      </w:r>
    </w:p>
    <w:p w14:paraId="72E2557C" w14:textId="76E950BF" w:rsidR="00364EF9" w:rsidRPr="008C4B39" w:rsidRDefault="00364EF9" w:rsidP="00AC5904">
      <w:pPr>
        <w:pStyle w:val="JudgmentNumbered"/>
        <w:ind w:left="0" w:firstLine="0"/>
        <w:rPr>
          <w:sz w:val="22"/>
        </w:rPr>
      </w:pPr>
      <w:r w:rsidRPr="008C4B39">
        <w:rPr>
          <w:sz w:val="22"/>
        </w:rPr>
        <w:t>The development fees represent</w:t>
      </w:r>
      <w:r w:rsidR="00912E76" w:rsidRPr="008C4B39">
        <w:rPr>
          <w:sz w:val="22"/>
        </w:rPr>
        <w:t>ed</w:t>
      </w:r>
      <w:r w:rsidRPr="008C4B39">
        <w:rPr>
          <w:sz w:val="22"/>
        </w:rPr>
        <w:t xml:space="preserve"> the cost of expenditure incurred by </w:t>
      </w:r>
      <w:r w:rsidR="00F71BC7">
        <w:rPr>
          <w:sz w:val="22"/>
        </w:rPr>
        <w:t>Flower</w:t>
      </w:r>
      <w:r w:rsidRPr="008C4B39">
        <w:rPr>
          <w:sz w:val="22"/>
        </w:rPr>
        <w:t xml:space="preserve"> in connection with the raising of funds and credit facilities required to provide the monies </w:t>
      </w:r>
      <w:r w:rsidR="00912E76" w:rsidRPr="008C4B39">
        <w:rPr>
          <w:sz w:val="22"/>
        </w:rPr>
        <w:t xml:space="preserve">necessary </w:t>
      </w:r>
      <w:r w:rsidRPr="008C4B39">
        <w:rPr>
          <w:sz w:val="22"/>
        </w:rPr>
        <w:t xml:space="preserve">to pay for the establishment of the solar facility. </w:t>
      </w:r>
    </w:p>
    <w:p w14:paraId="6FF665FD" w14:textId="70E30AA4" w:rsidR="00364EF9" w:rsidRPr="008C4B39" w:rsidRDefault="00364EF9" w:rsidP="00AC5904">
      <w:pPr>
        <w:pStyle w:val="JudgmentNumbered"/>
        <w:ind w:left="0" w:firstLine="0"/>
        <w:rPr>
          <w:sz w:val="22"/>
        </w:rPr>
      </w:pPr>
      <w:r w:rsidRPr="008C4B39">
        <w:rPr>
          <w:sz w:val="22"/>
        </w:rPr>
        <w:t xml:space="preserve">The development fees were not directly included in the various credit agreements concluded by </w:t>
      </w:r>
      <w:r w:rsidR="00F71BC7">
        <w:rPr>
          <w:sz w:val="22"/>
        </w:rPr>
        <w:t>Flower</w:t>
      </w:r>
      <w:r w:rsidRPr="008C4B39">
        <w:rPr>
          <w:sz w:val="22"/>
        </w:rPr>
        <w:t xml:space="preserve"> with its creditors </w:t>
      </w:r>
      <w:r w:rsidR="00912E76" w:rsidRPr="008C4B39">
        <w:rPr>
          <w:sz w:val="22"/>
        </w:rPr>
        <w:t>that</w:t>
      </w:r>
      <w:r w:rsidRPr="008C4B39">
        <w:rPr>
          <w:sz w:val="22"/>
        </w:rPr>
        <w:t xml:space="preserve"> made the funding available. </w:t>
      </w:r>
    </w:p>
    <w:p w14:paraId="5AB38322" w14:textId="21B1C3EC" w:rsidR="00364EF9" w:rsidRPr="008C4B39" w:rsidRDefault="00F71BC7" w:rsidP="00AC5904">
      <w:pPr>
        <w:pStyle w:val="JudgmentNumbered"/>
        <w:ind w:left="0" w:firstLine="0"/>
        <w:rPr>
          <w:sz w:val="22"/>
        </w:rPr>
      </w:pPr>
      <w:r>
        <w:rPr>
          <w:sz w:val="22"/>
        </w:rPr>
        <w:t>Flower</w:t>
      </w:r>
      <w:r w:rsidR="00364EF9" w:rsidRPr="008C4B39">
        <w:rPr>
          <w:sz w:val="22"/>
        </w:rPr>
        <w:t xml:space="preserve"> alleged that the development fees fell within the meaning of “related finance charges” and the definition of “interest” contained in </w:t>
      </w:r>
      <w:r w:rsidR="00E965F5" w:rsidRPr="00E965F5">
        <w:rPr>
          <w:sz w:val="22"/>
        </w:rPr>
        <w:t>section</w:t>
      </w:r>
      <w:r w:rsidR="006170DF">
        <w:rPr>
          <w:sz w:val="22"/>
        </w:rPr>
        <w:t> </w:t>
      </w:r>
      <w:r w:rsidR="00364EF9" w:rsidRPr="008C4B39">
        <w:rPr>
          <w:sz w:val="22"/>
        </w:rPr>
        <w:t xml:space="preserve">24J of the Income Tax Act, and that </w:t>
      </w:r>
      <w:r>
        <w:rPr>
          <w:sz w:val="22"/>
        </w:rPr>
        <w:t>Flower</w:t>
      </w:r>
      <w:r w:rsidR="00364EF9" w:rsidRPr="008C4B39">
        <w:rPr>
          <w:sz w:val="22"/>
        </w:rPr>
        <w:t xml:space="preserve"> was entitled to claim the development fees as deductions from income in the 2014 tax year in terms of </w:t>
      </w:r>
      <w:r w:rsidR="00E965F5" w:rsidRPr="00E965F5">
        <w:rPr>
          <w:sz w:val="22"/>
        </w:rPr>
        <w:t>section</w:t>
      </w:r>
      <w:r w:rsidR="006170DF">
        <w:rPr>
          <w:sz w:val="22"/>
        </w:rPr>
        <w:t> </w:t>
      </w:r>
      <w:r w:rsidR="00364EF9" w:rsidRPr="008C4B39">
        <w:rPr>
          <w:sz w:val="22"/>
        </w:rPr>
        <w:t>11A(1)(</w:t>
      </w:r>
      <w:r w:rsidR="00364EF9" w:rsidRPr="006170DF">
        <w:rPr>
          <w:i/>
          <w:iCs/>
          <w:sz w:val="22"/>
        </w:rPr>
        <w:t>b</w:t>
      </w:r>
      <w:r w:rsidR="00364EF9" w:rsidRPr="008C4B39">
        <w:rPr>
          <w:sz w:val="22"/>
        </w:rPr>
        <w:t xml:space="preserve">) of the Income Tax Act. SARS initially allowed the deduction of the development fees but subsequent to an audit of </w:t>
      </w:r>
      <w:r>
        <w:rPr>
          <w:sz w:val="22"/>
        </w:rPr>
        <w:t>Flower</w:t>
      </w:r>
      <w:r w:rsidR="00364EF9" w:rsidRPr="008C4B39">
        <w:rPr>
          <w:sz w:val="22"/>
        </w:rPr>
        <w:t xml:space="preserve">’s tax affairs by SARS, SARS disallowed the deduction of the development fees in </w:t>
      </w:r>
      <w:r>
        <w:rPr>
          <w:sz w:val="22"/>
        </w:rPr>
        <w:t>Flower</w:t>
      </w:r>
      <w:r w:rsidR="00364EF9" w:rsidRPr="008C4B39">
        <w:rPr>
          <w:sz w:val="22"/>
        </w:rPr>
        <w:t xml:space="preserve">’s 2014 assessment. </w:t>
      </w:r>
    </w:p>
    <w:p w14:paraId="33BAA2AB" w14:textId="5A3D15EF" w:rsidR="00364EF9" w:rsidRPr="008C4B39" w:rsidRDefault="00343255" w:rsidP="00AC5904">
      <w:pPr>
        <w:pStyle w:val="JudgmentNumbered"/>
        <w:ind w:left="0" w:firstLine="0"/>
        <w:rPr>
          <w:sz w:val="22"/>
        </w:rPr>
      </w:pPr>
      <w:r w:rsidRPr="008C4B39">
        <w:rPr>
          <w:sz w:val="22"/>
        </w:rPr>
        <w:t>In order to test if the new ground</w:t>
      </w:r>
      <w:r w:rsidR="00912E76" w:rsidRPr="008C4B39">
        <w:rPr>
          <w:sz w:val="22"/>
        </w:rPr>
        <w:t>s</w:t>
      </w:r>
      <w:r w:rsidRPr="008C4B39">
        <w:rPr>
          <w:sz w:val="22"/>
        </w:rPr>
        <w:t xml:space="preserve"> in the </w:t>
      </w:r>
      <w:r w:rsidR="006170DF">
        <w:rPr>
          <w:sz w:val="22"/>
        </w:rPr>
        <w:t>r</w:t>
      </w:r>
      <w:r w:rsidRPr="008C4B39">
        <w:rPr>
          <w:sz w:val="22"/>
        </w:rPr>
        <w:t>ule</w:t>
      </w:r>
      <w:r w:rsidR="006170DF">
        <w:rPr>
          <w:sz w:val="22"/>
        </w:rPr>
        <w:t> </w:t>
      </w:r>
      <w:r w:rsidRPr="008C4B39">
        <w:rPr>
          <w:sz w:val="22"/>
        </w:rPr>
        <w:t xml:space="preserve">31 statement constitute a contravention of </w:t>
      </w:r>
      <w:r w:rsidR="006170DF">
        <w:rPr>
          <w:sz w:val="22"/>
        </w:rPr>
        <w:t>r</w:t>
      </w:r>
      <w:r w:rsidRPr="008C4B39">
        <w:rPr>
          <w:sz w:val="22"/>
        </w:rPr>
        <w:t>ule</w:t>
      </w:r>
      <w:r w:rsidR="006170DF">
        <w:rPr>
          <w:sz w:val="22"/>
        </w:rPr>
        <w:t> </w:t>
      </w:r>
      <w:r w:rsidRPr="008C4B39">
        <w:rPr>
          <w:sz w:val="22"/>
        </w:rPr>
        <w:t>31(3), it is necessary to compare the provisions of SARS’</w:t>
      </w:r>
      <w:r w:rsidR="006170DF">
        <w:rPr>
          <w:sz w:val="22"/>
        </w:rPr>
        <w:t>s</w:t>
      </w:r>
      <w:r w:rsidRPr="008C4B39">
        <w:rPr>
          <w:sz w:val="22"/>
        </w:rPr>
        <w:t xml:space="preserve"> </w:t>
      </w:r>
      <w:r w:rsidR="006170DF">
        <w:rPr>
          <w:sz w:val="22"/>
        </w:rPr>
        <w:t>r</w:t>
      </w:r>
      <w:r w:rsidRPr="008C4B39">
        <w:rPr>
          <w:sz w:val="22"/>
        </w:rPr>
        <w:t>ule</w:t>
      </w:r>
      <w:r w:rsidR="006170DF">
        <w:rPr>
          <w:sz w:val="22"/>
        </w:rPr>
        <w:t> </w:t>
      </w:r>
      <w:r w:rsidRPr="008C4B39">
        <w:rPr>
          <w:sz w:val="22"/>
        </w:rPr>
        <w:t>31 statement with the assessment itself, in this case the amended assessment.</w:t>
      </w:r>
    </w:p>
    <w:p w14:paraId="19FF4281" w14:textId="63C113A3" w:rsidR="00343255" w:rsidRPr="008C4B39" w:rsidRDefault="00343255" w:rsidP="00AC5904">
      <w:pPr>
        <w:pStyle w:val="JudgmentNumbered"/>
        <w:ind w:left="0" w:firstLine="0"/>
        <w:rPr>
          <w:sz w:val="22"/>
        </w:rPr>
      </w:pPr>
      <w:r w:rsidRPr="008C4B39">
        <w:rPr>
          <w:sz w:val="22"/>
        </w:rPr>
        <w:t xml:space="preserve">Whilst SARS argued that the comparison ought to be made against the objection phase, that is incorrect. The scheme of the process and the wording of </w:t>
      </w:r>
      <w:r w:rsidR="006170DF">
        <w:rPr>
          <w:sz w:val="22"/>
        </w:rPr>
        <w:t>r</w:t>
      </w:r>
      <w:r w:rsidRPr="008C4B39">
        <w:rPr>
          <w:sz w:val="22"/>
        </w:rPr>
        <w:t xml:space="preserve">ule 31(3) itself is such as to make the comparison between the </w:t>
      </w:r>
      <w:r w:rsidR="006170DF">
        <w:rPr>
          <w:sz w:val="22"/>
        </w:rPr>
        <w:t>r</w:t>
      </w:r>
      <w:r w:rsidRPr="008C4B39">
        <w:rPr>
          <w:sz w:val="22"/>
        </w:rPr>
        <w:t xml:space="preserve">ule 31 statement and what is in the assessment itself. The wording of </w:t>
      </w:r>
      <w:r w:rsidR="006170DF">
        <w:rPr>
          <w:sz w:val="22"/>
        </w:rPr>
        <w:t>r</w:t>
      </w:r>
      <w:r w:rsidRPr="008C4B39">
        <w:rPr>
          <w:sz w:val="22"/>
        </w:rPr>
        <w:t xml:space="preserve">ule 31(3) makes it plain that the comparison is between the assessment. </w:t>
      </w:r>
      <w:r w:rsidR="006170DF">
        <w:rPr>
          <w:sz w:val="22"/>
        </w:rPr>
        <w:t>r</w:t>
      </w:r>
      <w:r w:rsidRPr="008C4B39">
        <w:rPr>
          <w:sz w:val="22"/>
        </w:rPr>
        <w:t>ule</w:t>
      </w:r>
      <w:r w:rsidR="006170DF">
        <w:rPr>
          <w:sz w:val="22"/>
        </w:rPr>
        <w:t> </w:t>
      </w:r>
      <w:r w:rsidRPr="008C4B39">
        <w:rPr>
          <w:sz w:val="22"/>
        </w:rPr>
        <w:t>31(3) is permissive in that it provides that SARS may include in the statement a new ground of assessment or basis for the partial disallowance of the objection unless that new ground constitutes a novation of the whole of the fact</w:t>
      </w:r>
      <w:r w:rsidR="00A91A27" w:rsidRPr="008C4B39">
        <w:rPr>
          <w:sz w:val="22"/>
        </w:rPr>
        <w:t>ual</w:t>
      </w:r>
      <w:r w:rsidRPr="008C4B39">
        <w:rPr>
          <w:sz w:val="22"/>
        </w:rPr>
        <w:t xml:space="preserve"> or legal basis of the disputed </w:t>
      </w:r>
      <w:r w:rsidR="00024BC0" w:rsidRPr="008C4B39">
        <w:rPr>
          <w:sz w:val="22"/>
        </w:rPr>
        <w:t>assessment,</w:t>
      </w:r>
      <w:r w:rsidRPr="008C4B39">
        <w:rPr>
          <w:sz w:val="22"/>
        </w:rPr>
        <w:t xml:space="preserve"> or which requires the issue of a revised assessment. </w:t>
      </w:r>
    </w:p>
    <w:p w14:paraId="70A7142B" w14:textId="0CB10A84" w:rsidR="00343255" w:rsidRPr="008C4B39" w:rsidRDefault="00343255" w:rsidP="00AC5904">
      <w:pPr>
        <w:pStyle w:val="JudgmentNumbered"/>
        <w:ind w:left="0" w:firstLine="0"/>
        <w:rPr>
          <w:sz w:val="22"/>
        </w:rPr>
      </w:pPr>
      <w:r w:rsidRPr="008C4B39">
        <w:rPr>
          <w:sz w:val="22"/>
        </w:rPr>
        <w:t xml:space="preserve">Accordingly, the comparison arises between the </w:t>
      </w:r>
      <w:r w:rsidR="006170DF">
        <w:rPr>
          <w:sz w:val="22"/>
        </w:rPr>
        <w:t>r</w:t>
      </w:r>
      <w:r w:rsidRPr="008C4B39">
        <w:rPr>
          <w:sz w:val="22"/>
        </w:rPr>
        <w:t xml:space="preserve">ule 31 statement and the assessment itself and not the objection. </w:t>
      </w:r>
    </w:p>
    <w:p w14:paraId="54BDB67F" w14:textId="059679C9" w:rsidR="00343255" w:rsidRPr="008C4B39" w:rsidRDefault="00343255" w:rsidP="00AC5904">
      <w:pPr>
        <w:pStyle w:val="JudgmentNumbered"/>
        <w:ind w:left="0" w:firstLine="0"/>
        <w:rPr>
          <w:sz w:val="22"/>
        </w:rPr>
      </w:pPr>
      <w:r w:rsidRPr="008C4B39">
        <w:rPr>
          <w:sz w:val="22"/>
        </w:rPr>
        <w:t>SARS accordingly cannot introduce new matter that constitutes a novation of the assessment in terms of the objection or appeal stages of the process. SARS’</w:t>
      </w:r>
      <w:r w:rsidR="006170DF">
        <w:rPr>
          <w:sz w:val="22"/>
        </w:rPr>
        <w:t>s</w:t>
      </w:r>
      <w:r w:rsidRPr="008C4B39">
        <w:rPr>
          <w:sz w:val="22"/>
        </w:rPr>
        <w:t xml:space="preserve"> use of the objection stage as a benchmark</w:t>
      </w:r>
      <w:r w:rsidR="00A91A27" w:rsidRPr="008C4B39">
        <w:rPr>
          <w:sz w:val="22"/>
        </w:rPr>
        <w:t>,</w:t>
      </w:r>
      <w:r w:rsidRPr="008C4B39">
        <w:rPr>
          <w:sz w:val="22"/>
        </w:rPr>
        <w:t xml:space="preserve"> in the circumstances, </w:t>
      </w:r>
      <w:r w:rsidR="00A91A27" w:rsidRPr="008C4B39">
        <w:rPr>
          <w:sz w:val="22"/>
        </w:rPr>
        <w:t xml:space="preserve">is </w:t>
      </w:r>
      <w:r w:rsidRPr="008C4B39">
        <w:rPr>
          <w:sz w:val="22"/>
        </w:rPr>
        <w:t>legally impermissible.</w:t>
      </w:r>
    </w:p>
    <w:p w14:paraId="0D0F102A" w14:textId="77777777" w:rsidR="00343255" w:rsidRPr="008C4B39" w:rsidRDefault="00343255" w:rsidP="00AC5904">
      <w:pPr>
        <w:pStyle w:val="JudgmentNumbered"/>
        <w:ind w:left="0" w:firstLine="0"/>
        <w:rPr>
          <w:sz w:val="22"/>
        </w:rPr>
      </w:pPr>
      <w:r w:rsidRPr="008C4B39">
        <w:rPr>
          <w:sz w:val="22"/>
        </w:rPr>
        <w:t xml:space="preserve">SARS issued a letter of audit findings dated 29 October 2018 followed by a letter of finalisation of audit dated 13 December 2018. There is no substantial difference, only minor differences, between the two documents. </w:t>
      </w:r>
    </w:p>
    <w:p w14:paraId="15EBCF90" w14:textId="78CAC219" w:rsidR="00343255" w:rsidRPr="008C4B39" w:rsidRDefault="00343255" w:rsidP="00AC5904">
      <w:pPr>
        <w:pStyle w:val="JudgmentNumbered"/>
        <w:ind w:left="0" w:firstLine="0"/>
        <w:rPr>
          <w:sz w:val="22"/>
        </w:rPr>
      </w:pPr>
      <w:r w:rsidRPr="008C4B39">
        <w:rPr>
          <w:sz w:val="22"/>
        </w:rPr>
        <w:t>SARS</w:t>
      </w:r>
      <w:r w:rsidR="00A91A27" w:rsidRPr="008C4B39">
        <w:rPr>
          <w:sz w:val="22"/>
        </w:rPr>
        <w:t>,</w:t>
      </w:r>
      <w:r w:rsidRPr="008C4B39">
        <w:rPr>
          <w:sz w:val="22"/>
        </w:rPr>
        <w:t xml:space="preserve"> in its finalisation of audit letter</w:t>
      </w:r>
      <w:r w:rsidR="00A91A27" w:rsidRPr="008C4B39">
        <w:rPr>
          <w:sz w:val="22"/>
        </w:rPr>
        <w:t>,</w:t>
      </w:r>
      <w:r w:rsidRPr="008C4B39">
        <w:rPr>
          <w:sz w:val="22"/>
        </w:rPr>
        <w:t xml:space="preserve"> records the taxpayer’s response to SARS’</w:t>
      </w:r>
      <w:r w:rsidR="006170DF">
        <w:rPr>
          <w:sz w:val="22"/>
        </w:rPr>
        <w:t>s</w:t>
      </w:r>
      <w:r w:rsidRPr="008C4B39">
        <w:rPr>
          <w:sz w:val="22"/>
        </w:rPr>
        <w:t xml:space="preserve"> previous request for representations from the taxpayer, </w:t>
      </w:r>
      <w:r w:rsidR="00F71BC7">
        <w:rPr>
          <w:sz w:val="22"/>
        </w:rPr>
        <w:t>Flower</w:t>
      </w:r>
      <w:r w:rsidRPr="008C4B39">
        <w:rPr>
          <w:sz w:val="22"/>
        </w:rPr>
        <w:t xml:space="preserve">, in respect of a breakdown of </w:t>
      </w:r>
      <w:r w:rsidR="00A91A27" w:rsidRPr="008C4B39">
        <w:rPr>
          <w:sz w:val="22"/>
        </w:rPr>
        <w:t xml:space="preserve">the </w:t>
      </w:r>
      <w:r w:rsidRPr="008C4B39">
        <w:rPr>
          <w:sz w:val="22"/>
        </w:rPr>
        <w:t>pre-trade expenses</w:t>
      </w:r>
      <w:r w:rsidR="00A91A27" w:rsidRPr="008C4B39">
        <w:rPr>
          <w:sz w:val="22"/>
        </w:rPr>
        <w:t>,</w:t>
      </w:r>
      <w:r w:rsidRPr="008C4B39">
        <w:rPr>
          <w:sz w:val="22"/>
        </w:rPr>
        <w:t xml:space="preserve"> being the developmental expenses, and an explanation as to why each expense should be allowed as a deduction by SARS. </w:t>
      </w:r>
    </w:p>
    <w:p w14:paraId="1286728D" w14:textId="608DE430" w:rsidR="00343255" w:rsidRPr="008C4B39" w:rsidRDefault="00F71BC7" w:rsidP="00AC5904">
      <w:pPr>
        <w:pStyle w:val="JudgmentNumbered"/>
        <w:ind w:left="0" w:firstLine="0"/>
        <w:rPr>
          <w:sz w:val="22"/>
        </w:rPr>
      </w:pPr>
      <w:r>
        <w:rPr>
          <w:sz w:val="22"/>
        </w:rPr>
        <w:t>Flower</w:t>
      </w:r>
      <w:r w:rsidR="00343255" w:rsidRPr="008C4B39">
        <w:rPr>
          <w:sz w:val="22"/>
        </w:rPr>
        <w:t xml:space="preserve"> relied on the close connection to the obtaining of the loans and the furtherance of the project as a whole. </w:t>
      </w:r>
      <w:r>
        <w:rPr>
          <w:sz w:val="22"/>
        </w:rPr>
        <w:t>Flower</w:t>
      </w:r>
      <w:r w:rsidR="00343255" w:rsidRPr="008C4B39">
        <w:rPr>
          <w:sz w:val="22"/>
        </w:rPr>
        <w:t xml:space="preserve"> relied on </w:t>
      </w:r>
      <w:r w:rsidR="00343255" w:rsidRPr="008C4B39">
        <w:rPr>
          <w:i/>
          <w:sz w:val="22"/>
        </w:rPr>
        <w:t>SARS v South African Custodial Services (Pty) Ltd</w:t>
      </w:r>
      <w:r w:rsidR="00A91A27" w:rsidRPr="008C4B39">
        <w:rPr>
          <w:rStyle w:val="FootnoteReference"/>
          <w:i/>
          <w:sz w:val="22"/>
        </w:rPr>
        <w:footnoteReference w:id="1"/>
      </w:r>
      <w:r w:rsidR="00343255" w:rsidRPr="008C4B39">
        <w:rPr>
          <w:sz w:val="22"/>
        </w:rPr>
        <w:t xml:space="preserve"> and </w:t>
      </w:r>
      <w:r w:rsidR="00343255" w:rsidRPr="008C4B39">
        <w:rPr>
          <w:i/>
          <w:iCs/>
          <w:sz w:val="22"/>
        </w:rPr>
        <w:t>ITC</w:t>
      </w:r>
      <w:r w:rsidR="00D00925">
        <w:rPr>
          <w:i/>
          <w:iCs/>
          <w:sz w:val="22"/>
        </w:rPr>
        <w:t> </w:t>
      </w:r>
      <w:r w:rsidR="00343255" w:rsidRPr="008C4B39">
        <w:rPr>
          <w:i/>
          <w:iCs/>
          <w:sz w:val="22"/>
        </w:rPr>
        <w:t>1870</w:t>
      </w:r>
      <w:r w:rsidR="00343255" w:rsidRPr="008C4B39">
        <w:rPr>
          <w:sz w:val="22"/>
        </w:rPr>
        <w:t>,</w:t>
      </w:r>
      <w:r w:rsidR="00A91A27" w:rsidRPr="008C4B39">
        <w:rPr>
          <w:rStyle w:val="FootnoteReference"/>
          <w:sz w:val="22"/>
        </w:rPr>
        <w:footnoteReference w:id="2"/>
      </w:r>
      <w:r w:rsidR="00343255" w:rsidRPr="008C4B39">
        <w:rPr>
          <w:sz w:val="22"/>
        </w:rPr>
        <w:t xml:space="preserve"> which comprised the next iteration of </w:t>
      </w:r>
      <w:r w:rsidR="00343255" w:rsidRPr="008C4B39">
        <w:rPr>
          <w:i/>
          <w:sz w:val="22"/>
        </w:rPr>
        <w:t>SACS</w:t>
      </w:r>
      <w:r w:rsidR="00343255" w:rsidRPr="008C4B39">
        <w:rPr>
          <w:sz w:val="22"/>
        </w:rPr>
        <w:t xml:space="preserve">. </w:t>
      </w:r>
    </w:p>
    <w:p w14:paraId="4AE53748" w14:textId="25C20336" w:rsidR="00343255" w:rsidRPr="008C4B39" w:rsidRDefault="00F71BC7" w:rsidP="00F83F58">
      <w:pPr>
        <w:pStyle w:val="JudgmentNumbered"/>
        <w:keepNext/>
        <w:ind w:left="0" w:firstLine="0"/>
        <w:rPr>
          <w:sz w:val="22"/>
        </w:rPr>
      </w:pPr>
      <w:r>
        <w:rPr>
          <w:sz w:val="22"/>
        </w:rPr>
        <w:t>Flower</w:t>
      </w:r>
      <w:r w:rsidR="00343255" w:rsidRPr="008C4B39">
        <w:rPr>
          <w:sz w:val="22"/>
        </w:rPr>
        <w:t xml:space="preserve">’s claims to the deduction of the developmental fees were premised </w:t>
      </w:r>
      <w:r w:rsidR="00640DF1" w:rsidRPr="008C4B39">
        <w:rPr>
          <w:sz w:val="22"/>
        </w:rPr>
        <w:t>on section</w:t>
      </w:r>
      <w:r w:rsidR="006170DF">
        <w:rPr>
          <w:sz w:val="22"/>
        </w:rPr>
        <w:t> </w:t>
      </w:r>
      <w:r w:rsidR="00343255" w:rsidRPr="008C4B39">
        <w:rPr>
          <w:sz w:val="22"/>
        </w:rPr>
        <w:t>2</w:t>
      </w:r>
      <w:r w:rsidR="00A91A27" w:rsidRPr="008C4B39">
        <w:rPr>
          <w:sz w:val="22"/>
        </w:rPr>
        <w:t>4</w:t>
      </w:r>
      <w:r w:rsidR="00343255" w:rsidRPr="008C4B39">
        <w:rPr>
          <w:sz w:val="22"/>
        </w:rPr>
        <w:t xml:space="preserve">J and </w:t>
      </w:r>
      <w:r w:rsidR="00E11E4B" w:rsidRPr="00E11E4B">
        <w:rPr>
          <w:sz w:val="22"/>
        </w:rPr>
        <w:t>section</w:t>
      </w:r>
      <w:r w:rsidR="006170DF">
        <w:rPr>
          <w:sz w:val="22"/>
        </w:rPr>
        <w:t> </w:t>
      </w:r>
      <w:r w:rsidR="00343255" w:rsidRPr="008C4B39">
        <w:rPr>
          <w:sz w:val="22"/>
        </w:rPr>
        <w:t>11A of the Income Tax Act. Section</w:t>
      </w:r>
      <w:r w:rsidR="006170DF">
        <w:rPr>
          <w:sz w:val="22"/>
        </w:rPr>
        <w:t> </w:t>
      </w:r>
      <w:r w:rsidR="00343255" w:rsidRPr="008C4B39">
        <w:rPr>
          <w:sz w:val="22"/>
        </w:rPr>
        <w:t>11A permits the deduction from income derived from a trade</w:t>
      </w:r>
      <w:r w:rsidR="00B86CED" w:rsidRPr="008C4B39">
        <w:rPr>
          <w:sz w:val="22"/>
        </w:rPr>
        <w:t>,</w:t>
      </w:r>
      <w:r w:rsidR="00343255" w:rsidRPr="008C4B39">
        <w:rPr>
          <w:sz w:val="22"/>
        </w:rPr>
        <w:t xml:space="preserve"> of expenditure actually incurred by the taxpayer prior to the commencement and in preparation </w:t>
      </w:r>
      <w:r w:rsidR="00DB552D" w:rsidRPr="008C4B39">
        <w:rPr>
          <w:sz w:val="22"/>
        </w:rPr>
        <w:t>o</w:t>
      </w:r>
      <w:r w:rsidR="00343255" w:rsidRPr="008C4B39">
        <w:rPr>
          <w:sz w:val="22"/>
        </w:rPr>
        <w:t>f the carrying on of that trade</w:t>
      </w:r>
      <w:r w:rsidR="00DB552D" w:rsidRPr="008C4B39">
        <w:rPr>
          <w:sz w:val="22"/>
        </w:rPr>
        <w:t>,</w:t>
      </w:r>
      <w:r w:rsidR="00343255" w:rsidRPr="008C4B39">
        <w:rPr>
          <w:sz w:val="22"/>
        </w:rPr>
        <w:t xml:space="preserve"> if such expenditure would have been allowed as a deduction in terms of certain other provisions of the Income Tax Act, had such expenditure been incurred after the taxpayer commenced carrying on the trade. </w:t>
      </w:r>
    </w:p>
    <w:p w14:paraId="56869780" w14:textId="4B029414" w:rsidR="00343255" w:rsidRPr="008C4B39" w:rsidRDefault="00343255" w:rsidP="00193FED">
      <w:pPr>
        <w:pStyle w:val="JudgmentNumbered"/>
        <w:ind w:left="0" w:firstLine="0"/>
        <w:rPr>
          <w:sz w:val="22"/>
        </w:rPr>
      </w:pPr>
      <w:r w:rsidRPr="008C4B39">
        <w:rPr>
          <w:sz w:val="22"/>
        </w:rPr>
        <w:t>Section</w:t>
      </w:r>
      <w:r w:rsidR="006170DF">
        <w:rPr>
          <w:sz w:val="22"/>
        </w:rPr>
        <w:t> </w:t>
      </w:r>
      <w:r w:rsidRPr="008C4B39">
        <w:rPr>
          <w:sz w:val="22"/>
        </w:rPr>
        <w:t>24</w:t>
      </w:r>
      <w:r w:rsidR="00E11E4B" w:rsidRPr="008C4B39">
        <w:rPr>
          <w:sz w:val="22"/>
        </w:rPr>
        <w:t>J(</w:t>
      </w:r>
      <w:r w:rsidRPr="008C4B39">
        <w:rPr>
          <w:sz w:val="22"/>
        </w:rPr>
        <w:t>2) permits the deduction of interest expenditure from the income of a trade if that amount was incurred in the production of income, with no limitation or exclusion on the basis that the interest expenditure was capital in nature.</w:t>
      </w:r>
    </w:p>
    <w:p w14:paraId="046EFB3F" w14:textId="68E8C524" w:rsidR="00631993" w:rsidRPr="008C4B39" w:rsidRDefault="00F71BC7" w:rsidP="00193FED">
      <w:pPr>
        <w:pStyle w:val="JudgmentNumbered"/>
        <w:ind w:left="0" w:firstLine="0"/>
        <w:rPr>
          <w:sz w:val="22"/>
        </w:rPr>
      </w:pPr>
      <w:r>
        <w:rPr>
          <w:sz w:val="22"/>
        </w:rPr>
        <w:t>Flower</w:t>
      </w:r>
      <w:r w:rsidR="00631993" w:rsidRPr="008C4B39">
        <w:rPr>
          <w:sz w:val="22"/>
        </w:rPr>
        <w:t xml:space="preserve"> relied on the definition in </w:t>
      </w:r>
      <w:r w:rsidR="00AB0A7B" w:rsidRPr="00AB0A7B">
        <w:rPr>
          <w:sz w:val="22"/>
        </w:rPr>
        <w:t>section</w:t>
      </w:r>
      <w:r w:rsidR="006170DF">
        <w:rPr>
          <w:sz w:val="22"/>
        </w:rPr>
        <w:t> </w:t>
      </w:r>
      <w:r w:rsidR="00631993" w:rsidRPr="008C4B39">
        <w:rPr>
          <w:sz w:val="22"/>
        </w:rPr>
        <w:t>24</w:t>
      </w:r>
      <w:r w:rsidR="00E11E4B" w:rsidRPr="008C4B39">
        <w:rPr>
          <w:sz w:val="22"/>
        </w:rPr>
        <w:t>J (</w:t>
      </w:r>
      <w:r w:rsidR="00631993" w:rsidRPr="008C4B39">
        <w:rPr>
          <w:sz w:val="22"/>
        </w:rPr>
        <w:t>1) during the 2014 year of assessment, that included the expression “related finance charges”. Section</w:t>
      </w:r>
      <w:r w:rsidR="006170DF">
        <w:rPr>
          <w:sz w:val="22"/>
        </w:rPr>
        <w:t> </w:t>
      </w:r>
      <w:r w:rsidR="00631993" w:rsidRPr="008C4B39">
        <w:rPr>
          <w:sz w:val="22"/>
        </w:rPr>
        <w:t>11</w:t>
      </w:r>
      <w:r w:rsidR="00AB0A7B" w:rsidRPr="008C4B39">
        <w:rPr>
          <w:sz w:val="22"/>
        </w:rPr>
        <w:t>A(</w:t>
      </w:r>
      <w:r w:rsidR="00631993" w:rsidRPr="008C4B39">
        <w:rPr>
          <w:sz w:val="22"/>
        </w:rPr>
        <w:t xml:space="preserve">1) permits the deduction of interest expenditure </w:t>
      </w:r>
      <w:r w:rsidR="00AB0A7B" w:rsidRPr="008C4B39">
        <w:rPr>
          <w:sz w:val="22"/>
        </w:rPr>
        <w:t xml:space="preserve">under </w:t>
      </w:r>
      <w:bookmarkStart w:id="0" w:name="_Hlk190261505"/>
      <w:r w:rsidR="00AB0A7B" w:rsidRPr="008C4B39">
        <w:rPr>
          <w:sz w:val="22"/>
        </w:rPr>
        <w:t>s</w:t>
      </w:r>
      <w:r w:rsidR="00AB0A7B">
        <w:rPr>
          <w:sz w:val="22"/>
        </w:rPr>
        <w:t>ection</w:t>
      </w:r>
      <w:bookmarkEnd w:id="0"/>
      <w:r w:rsidR="006170DF">
        <w:rPr>
          <w:sz w:val="22"/>
        </w:rPr>
        <w:t> </w:t>
      </w:r>
      <w:r w:rsidR="00631993" w:rsidRPr="008C4B39">
        <w:rPr>
          <w:sz w:val="22"/>
        </w:rPr>
        <w:t xml:space="preserve">24J, if incurred after trade commenced, </w:t>
      </w:r>
      <w:r w:rsidR="00DB552D" w:rsidRPr="008C4B39">
        <w:rPr>
          <w:sz w:val="22"/>
        </w:rPr>
        <w:t xml:space="preserve">which </w:t>
      </w:r>
      <w:r w:rsidR="00631993" w:rsidRPr="008C4B39">
        <w:rPr>
          <w:sz w:val="22"/>
        </w:rPr>
        <w:t xml:space="preserve">can be deducted under </w:t>
      </w:r>
      <w:r w:rsidR="007C410D" w:rsidRPr="007C410D">
        <w:rPr>
          <w:sz w:val="22"/>
        </w:rPr>
        <w:t>section</w:t>
      </w:r>
      <w:r w:rsidR="006170DF">
        <w:rPr>
          <w:sz w:val="22"/>
        </w:rPr>
        <w:t> </w:t>
      </w:r>
      <w:r w:rsidR="00631993" w:rsidRPr="008C4B39">
        <w:rPr>
          <w:sz w:val="22"/>
        </w:rPr>
        <w:t xml:space="preserve">11A if such expenditure was incurred prior to the commencement of trade. </w:t>
      </w:r>
    </w:p>
    <w:p w14:paraId="30A94906" w14:textId="59AE16BD" w:rsidR="00631993" w:rsidRPr="008C4B39" w:rsidRDefault="00F71BC7" w:rsidP="0080229F">
      <w:pPr>
        <w:pStyle w:val="JudgmentNumbered"/>
        <w:ind w:left="0" w:firstLine="0"/>
        <w:rPr>
          <w:sz w:val="22"/>
        </w:rPr>
      </w:pPr>
      <w:r>
        <w:rPr>
          <w:sz w:val="22"/>
        </w:rPr>
        <w:t>Flower</w:t>
      </w:r>
      <w:r w:rsidR="005942E1" w:rsidRPr="008C4B39">
        <w:rPr>
          <w:sz w:val="22"/>
        </w:rPr>
        <w:t xml:space="preserve"> claimed a deduction of the developmental fees on the basis that they comprised pre-trading expenses, pre-commencement expenditure, incurred in anticipation of </w:t>
      </w:r>
      <w:r>
        <w:rPr>
          <w:sz w:val="22"/>
        </w:rPr>
        <w:t>Flower</w:t>
      </w:r>
      <w:r w:rsidR="005942E1" w:rsidRPr="008C4B39">
        <w:rPr>
          <w:sz w:val="22"/>
        </w:rPr>
        <w:t xml:space="preserve"> producing income because </w:t>
      </w:r>
      <w:r>
        <w:rPr>
          <w:sz w:val="22"/>
        </w:rPr>
        <w:t>Flower</w:t>
      </w:r>
      <w:r w:rsidR="005942E1" w:rsidRPr="008C4B39">
        <w:rPr>
          <w:sz w:val="22"/>
        </w:rPr>
        <w:t xml:space="preserve"> was not trading at that time. Section 11A enables the deduction of pre-trade expenses comprising interest and finance charges in terms of </w:t>
      </w:r>
      <w:r w:rsidR="007C410D" w:rsidRPr="007C410D">
        <w:rPr>
          <w:sz w:val="22"/>
        </w:rPr>
        <w:t>section</w:t>
      </w:r>
      <w:r w:rsidR="006170DF">
        <w:rPr>
          <w:sz w:val="22"/>
        </w:rPr>
        <w:t> </w:t>
      </w:r>
      <w:r w:rsidR="005942E1" w:rsidRPr="008C4B39">
        <w:rPr>
          <w:sz w:val="22"/>
        </w:rPr>
        <w:t xml:space="preserve">24J, irrespective of whether </w:t>
      </w:r>
      <w:r w:rsidR="00DB552D" w:rsidRPr="008C4B39">
        <w:rPr>
          <w:sz w:val="22"/>
        </w:rPr>
        <w:t>it is</w:t>
      </w:r>
      <w:r w:rsidR="005942E1" w:rsidRPr="008C4B39">
        <w:rPr>
          <w:sz w:val="22"/>
        </w:rPr>
        <w:t xml:space="preserve"> of an income or capital nature. Section 24J does not have a non-capital requirement in it. </w:t>
      </w:r>
    </w:p>
    <w:p w14:paraId="69633A4D" w14:textId="220FC753" w:rsidR="005942E1" w:rsidRPr="008C4B39" w:rsidRDefault="00F71BC7" w:rsidP="0080229F">
      <w:pPr>
        <w:pStyle w:val="JudgmentNumbered"/>
        <w:ind w:left="0" w:firstLine="0"/>
        <w:rPr>
          <w:sz w:val="22"/>
        </w:rPr>
      </w:pPr>
      <w:r>
        <w:rPr>
          <w:sz w:val="22"/>
        </w:rPr>
        <w:t>Flower</w:t>
      </w:r>
      <w:r w:rsidR="005942E1" w:rsidRPr="008C4B39">
        <w:rPr>
          <w:sz w:val="22"/>
        </w:rPr>
        <w:t xml:space="preserve"> always acknowledged that the developmental fees were of a capital nature. Section</w:t>
      </w:r>
      <w:r w:rsidR="006170DF">
        <w:rPr>
          <w:sz w:val="22"/>
        </w:rPr>
        <w:t> </w:t>
      </w:r>
      <w:r w:rsidR="005942E1" w:rsidRPr="008C4B39">
        <w:rPr>
          <w:sz w:val="22"/>
        </w:rPr>
        <w:t>24J does not have a non-capital requirement and the taxpayer’s claim did not arise in terms of paragraph</w:t>
      </w:r>
      <w:r w:rsidR="006170DF">
        <w:rPr>
          <w:sz w:val="22"/>
        </w:rPr>
        <w:t> </w:t>
      </w:r>
      <w:r w:rsidR="00DB552D" w:rsidRPr="008C4B39">
        <w:rPr>
          <w:sz w:val="22"/>
        </w:rPr>
        <w:t>(</w:t>
      </w:r>
      <w:r w:rsidR="005942E1" w:rsidRPr="006170DF">
        <w:rPr>
          <w:i/>
          <w:iCs/>
          <w:sz w:val="22"/>
        </w:rPr>
        <w:t>a</w:t>
      </w:r>
      <w:r w:rsidR="00DB552D" w:rsidRPr="008C4B39">
        <w:rPr>
          <w:sz w:val="22"/>
        </w:rPr>
        <w:t>)</w:t>
      </w:r>
      <w:r w:rsidR="005942E1" w:rsidRPr="008C4B39">
        <w:rPr>
          <w:sz w:val="22"/>
        </w:rPr>
        <w:t xml:space="preserve"> of </w:t>
      </w:r>
      <w:r w:rsidR="00DB552D" w:rsidRPr="008C4B39">
        <w:rPr>
          <w:sz w:val="22"/>
        </w:rPr>
        <w:t>s</w:t>
      </w:r>
      <w:r w:rsidR="006170DF">
        <w:rPr>
          <w:sz w:val="22"/>
        </w:rPr>
        <w:t>ection </w:t>
      </w:r>
      <w:r w:rsidR="005942E1" w:rsidRPr="008C4B39">
        <w:rPr>
          <w:sz w:val="22"/>
        </w:rPr>
        <w:t xml:space="preserve">11 of the Income Tax Act but in terms </w:t>
      </w:r>
      <w:r w:rsidR="007C410D" w:rsidRPr="008C4B39">
        <w:rPr>
          <w:sz w:val="22"/>
        </w:rPr>
        <w:t>of section</w:t>
      </w:r>
      <w:r w:rsidR="006170DF">
        <w:rPr>
          <w:sz w:val="22"/>
        </w:rPr>
        <w:t> </w:t>
      </w:r>
      <w:r w:rsidR="005942E1" w:rsidRPr="008C4B39">
        <w:rPr>
          <w:sz w:val="22"/>
        </w:rPr>
        <w:t>11A</w:t>
      </w:r>
      <w:r w:rsidR="006170DF">
        <w:rPr>
          <w:sz w:val="22"/>
        </w:rPr>
        <w:t>,</w:t>
      </w:r>
      <w:r w:rsidR="005942E1" w:rsidRPr="008C4B39">
        <w:rPr>
          <w:sz w:val="22"/>
        </w:rPr>
        <w:t xml:space="preserve"> read with </w:t>
      </w:r>
      <w:r w:rsidR="007C410D" w:rsidRPr="007C410D">
        <w:rPr>
          <w:sz w:val="22"/>
        </w:rPr>
        <w:t>section</w:t>
      </w:r>
      <w:r w:rsidR="006170DF">
        <w:rPr>
          <w:sz w:val="22"/>
        </w:rPr>
        <w:t> </w:t>
      </w:r>
      <w:r w:rsidR="005942E1" w:rsidRPr="008C4B39">
        <w:rPr>
          <w:sz w:val="22"/>
        </w:rPr>
        <w:t xml:space="preserve">24J. </w:t>
      </w:r>
    </w:p>
    <w:p w14:paraId="1EC094FC" w14:textId="1019965F" w:rsidR="005942E1" w:rsidRPr="008C4B39" w:rsidRDefault="005942E1" w:rsidP="0080229F">
      <w:pPr>
        <w:pStyle w:val="JudgmentNumbered"/>
        <w:ind w:left="0" w:firstLine="0"/>
        <w:rPr>
          <w:sz w:val="22"/>
        </w:rPr>
      </w:pPr>
      <w:r w:rsidRPr="008C4B39">
        <w:rPr>
          <w:sz w:val="22"/>
        </w:rPr>
        <w:t>Section</w:t>
      </w:r>
      <w:r w:rsidR="006170DF">
        <w:rPr>
          <w:sz w:val="22"/>
        </w:rPr>
        <w:t> </w:t>
      </w:r>
      <w:r w:rsidRPr="008C4B39">
        <w:rPr>
          <w:sz w:val="22"/>
        </w:rPr>
        <w:t xml:space="preserve">24J provides for two categories of expenditure, an interest charge that is directly related to the amount of credit and the period for which the credit is extended, and secondly, “related finance charges”. The latter refer to legal fees, guarantee costs, the cost of raising a loan and financing, brokers and lawyers’ fees, all fees being not included directly in the finance agreements themselves. </w:t>
      </w:r>
    </w:p>
    <w:p w14:paraId="5D20486F" w14:textId="50CF9D24" w:rsidR="005942E1" w:rsidRPr="008C4B39" w:rsidRDefault="005942E1" w:rsidP="0080229F">
      <w:pPr>
        <w:pStyle w:val="JudgmentNumbered"/>
        <w:ind w:left="0" w:firstLine="0"/>
        <w:rPr>
          <w:sz w:val="22"/>
        </w:rPr>
      </w:pPr>
      <w:r w:rsidRPr="008C4B39">
        <w:rPr>
          <w:i/>
          <w:sz w:val="22"/>
        </w:rPr>
        <w:t xml:space="preserve">SACS </w:t>
      </w:r>
      <w:r w:rsidR="00BE2FA3" w:rsidRPr="008C4B39">
        <w:rPr>
          <w:sz w:val="22"/>
        </w:rPr>
        <w:t xml:space="preserve">found </w:t>
      </w:r>
      <w:r w:rsidRPr="008C4B39">
        <w:rPr>
          <w:sz w:val="22"/>
        </w:rPr>
        <w:t>that costs not directly included in credit agreements, being costs associated with credit, so</w:t>
      </w:r>
      <w:r w:rsidR="00BE2FA3" w:rsidRPr="008C4B39">
        <w:rPr>
          <w:sz w:val="22"/>
        </w:rPr>
        <w:t xml:space="preserve"> </w:t>
      </w:r>
      <w:r w:rsidRPr="008C4B39">
        <w:rPr>
          <w:sz w:val="22"/>
        </w:rPr>
        <w:t xml:space="preserve">called “category 2 costs” or “category 2 expenses”, may be claimed as a deduction. </w:t>
      </w:r>
    </w:p>
    <w:p w14:paraId="3A87AFB4" w14:textId="504177D9" w:rsidR="005942E1" w:rsidRPr="008C4B39" w:rsidRDefault="005942E1" w:rsidP="0080229F">
      <w:pPr>
        <w:pStyle w:val="JudgmentNumbered"/>
        <w:ind w:left="0" w:firstLine="0"/>
        <w:rPr>
          <w:sz w:val="22"/>
        </w:rPr>
      </w:pPr>
      <w:r w:rsidRPr="008C4B39">
        <w:rPr>
          <w:sz w:val="22"/>
        </w:rPr>
        <w:t xml:space="preserve">SARS, in the finalisation of audit letter, contended that </w:t>
      </w:r>
      <w:r w:rsidRPr="008C4B39">
        <w:rPr>
          <w:i/>
          <w:sz w:val="22"/>
        </w:rPr>
        <w:t xml:space="preserve">SACS </w:t>
      </w:r>
      <w:r w:rsidRPr="008C4B39">
        <w:rPr>
          <w:sz w:val="22"/>
        </w:rPr>
        <w:t xml:space="preserve">and </w:t>
      </w:r>
      <w:r w:rsidRPr="006170DF">
        <w:rPr>
          <w:i/>
          <w:iCs/>
          <w:sz w:val="22"/>
        </w:rPr>
        <w:t>ITC</w:t>
      </w:r>
      <w:r w:rsidR="00D00925">
        <w:rPr>
          <w:i/>
          <w:iCs/>
          <w:sz w:val="22"/>
        </w:rPr>
        <w:t> </w:t>
      </w:r>
      <w:r w:rsidRPr="006170DF">
        <w:rPr>
          <w:i/>
          <w:iCs/>
          <w:sz w:val="22"/>
        </w:rPr>
        <w:t>1870</w:t>
      </w:r>
      <w:r w:rsidRPr="008C4B39">
        <w:rPr>
          <w:sz w:val="22"/>
        </w:rPr>
        <w:t xml:space="preserve"> only applied to</w:t>
      </w:r>
      <w:r w:rsidR="00BE2FA3" w:rsidRPr="008C4B39">
        <w:rPr>
          <w:sz w:val="22"/>
        </w:rPr>
        <w:t xml:space="preserve"> </w:t>
      </w:r>
      <w:r w:rsidR="007C410D" w:rsidRPr="007C410D">
        <w:rPr>
          <w:sz w:val="22"/>
        </w:rPr>
        <w:t>section</w:t>
      </w:r>
      <w:r w:rsidR="006170DF">
        <w:rPr>
          <w:sz w:val="22"/>
        </w:rPr>
        <w:t> </w:t>
      </w:r>
      <w:r w:rsidRPr="008C4B39">
        <w:rPr>
          <w:sz w:val="22"/>
        </w:rPr>
        <w:t>11(</w:t>
      </w:r>
      <w:proofErr w:type="spellStart"/>
      <w:r w:rsidRPr="006170DF">
        <w:rPr>
          <w:i/>
          <w:iCs/>
          <w:sz w:val="22"/>
        </w:rPr>
        <w:t>b</w:t>
      </w:r>
      <w:r w:rsidRPr="008C4B39">
        <w:rPr>
          <w:sz w:val="22"/>
        </w:rPr>
        <w:t>A</w:t>
      </w:r>
      <w:proofErr w:type="spellEnd"/>
      <w:r w:rsidRPr="008C4B39">
        <w:rPr>
          <w:sz w:val="22"/>
        </w:rPr>
        <w:t xml:space="preserve">) and not to </w:t>
      </w:r>
      <w:r w:rsidR="007C410D" w:rsidRPr="007C410D">
        <w:rPr>
          <w:sz w:val="22"/>
        </w:rPr>
        <w:t>section</w:t>
      </w:r>
      <w:r w:rsidR="006170DF">
        <w:rPr>
          <w:sz w:val="22"/>
        </w:rPr>
        <w:t> </w:t>
      </w:r>
      <w:r w:rsidRPr="008C4B39">
        <w:rPr>
          <w:sz w:val="22"/>
        </w:rPr>
        <w:t xml:space="preserve">24J. This is contrary to what was held by the SCA in </w:t>
      </w:r>
      <w:r w:rsidRPr="008C4B39">
        <w:rPr>
          <w:i/>
          <w:sz w:val="22"/>
        </w:rPr>
        <w:t>SACS</w:t>
      </w:r>
      <w:r w:rsidRPr="008C4B39">
        <w:rPr>
          <w:sz w:val="22"/>
        </w:rPr>
        <w:t xml:space="preserve">. SARS attempted to distinguish </w:t>
      </w:r>
      <w:r w:rsidRPr="008C4B39">
        <w:rPr>
          <w:i/>
          <w:sz w:val="22"/>
        </w:rPr>
        <w:t xml:space="preserve">SACS </w:t>
      </w:r>
      <w:r w:rsidRPr="008C4B39">
        <w:rPr>
          <w:sz w:val="22"/>
        </w:rPr>
        <w:t>on the basis that it was never the intention of th</w:t>
      </w:r>
      <w:r w:rsidR="00BE2FA3" w:rsidRPr="008C4B39">
        <w:rPr>
          <w:sz w:val="22"/>
        </w:rPr>
        <w:t xml:space="preserve">e SCA in </w:t>
      </w:r>
      <w:r w:rsidR="00BE2FA3" w:rsidRPr="008C4B39">
        <w:rPr>
          <w:i/>
          <w:iCs/>
          <w:sz w:val="22"/>
        </w:rPr>
        <w:t>SACS</w:t>
      </w:r>
      <w:r w:rsidRPr="008C4B39">
        <w:rPr>
          <w:sz w:val="22"/>
        </w:rPr>
        <w:t xml:space="preserve"> to recognise fees such as legal fees and related financ</w:t>
      </w:r>
      <w:r w:rsidR="00BE2FA3" w:rsidRPr="008C4B39">
        <w:rPr>
          <w:sz w:val="22"/>
        </w:rPr>
        <w:t xml:space="preserve">e </w:t>
      </w:r>
      <w:r w:rsidRPr="008C4B39">
        <w:rPr>
          <w:sz w:val="22"/>
        </w:rPr>
        <w:t>charges, being fees not arising directly from and not being included in the finance agreements. SARS alleged that the fees, in order to qualify for the deduction, had to be costs or charges that comprise part of the financial arrangement itself, payable in terms of the financial arrangement itself, and not include costs associated with executing a loan. Accordingly, SARS refused the deduction of the developmental fees because they comprised related finance charges, category</w:t>
      </w:r>
      <w:r w:rsidR="006170DF">
        <w:rPr>
          <w:sz w:val="22"/>
        </w:rPr>
        <w:t> </w:t>
      </w:r>
      <w:r w:rsidRPr="008C4B39">
        <w:rPr>
          <w:sz w:val="22"/>
        </w:rPr>
        <w:t>2 expenses, and did not</w:t>
      </w:r>
      <w:r w:rsidR="00BE2FA3" w:rsidRPr="008C4B39">
        <w:rPr>
          <w:sz w:val="22"/>
        </w:rPr>
        <w:t>,</w:t>
      </w:r>
      <w:r w:rsidRPr="008C4B39">
        <w:rPr>
          <w:sz w:val="22"/>
        </w:rPr>
        <w:t xml:space="preserve"> according to SARS</w:t>
      </w:r>
      <w:r w:rsidR="00BE2FA3" w:rsidRPr="008C4B39">
        <w:rPr>
          <w:sz w:val="22"/>
        </w:rPr>
        <w:t>,</w:t>
      </w:r>
      <w:r w:rsidRPr="008C4B39">
        <w:rPr>
          <w:sz w:val="22"/>
        </w:rPr>
        <w:t xml:space="preserve"> meet the requirements of </w:t>
      </w:r>
      <w:r w:rsidR="007C410D" w:rsidRPr="007C410D">
        <w:rPr>
          <w:sz w:val="22"/>
        </w:rPr>
        <w:t>section</w:t>
      </w:r>
      <w:r w:rsidR="006170DF">
        <w:rPr>
          <w:sz w:val="22"/>
        </w:rPr>
        <w:t> </w:t>
      </w:r>
      <w:r w:rsidRPr="008C4B39">
        <w:rPr>
          <w:sz w:val="22"/>
        </w:rPr>
        <w:t>24J</w:t>
      </w:r>
      <w:r w:rsidR="00BE2FA3" w:rsidRPr="008C4B39">
        <w:rPr>
          <w:sz w:val="22"/>
        </w:rPr>
        <w:t>. Furthermore, that</w:t>
      </w:r>
      <w:r w:rsidRPr="008C4B39">
        <w:rPr>
          <w:sz w:val="22"/>
        </w:rPr>
        <w:t xml:space="preserve"> reliance on </w:t>
      </w:r>
      <w:r w:rsidRPr="008C4B39">
        <w:rPr>
          <w:i/>
          <w:sz w:val="22"/>
        </w:rPr>
        <w:t xml:space="preserve">SACS </w:t>
      </w:r>
      <w:r w:rsidRPr="008C4B39">
        <w:rPr>
          <w:sz w:val="22"/>
        </w:rPr>
        <w:t xml:space="preserve">and </w:t>
      </w:r>
      <w:r w:rsidRPr="008C4B39">
        <w:rPr>
          <w:i/>
          <w:iCs/>
          <w:sz w:val="22"/>
        </w:rPr>
        <w:t>ITC</w:t>
      </w:r>
      <w:r w:rsidR="00D00925">
        <w:rPr>
          <w:i/>
          <w:iCs/>
          <w:sz w:val="22"/>
        </w:rPr>
        <w:t> </w:t>
      </w:r>
      <w:r w:rsidRPr="008C4B39">
        <w:rPr>
          <w:i/>
          <w:iCs/>
          <w:sz w:val="22"/>
        </w:rPr>
        <w:t>1870</w:t>
      </w:r>
      <w:r w:rsidRPr="008C4B39">
        <w:rPr>
          <w:sz w:val="22"/>
        </w:rPr>
        <w:t xml:space="preserve"> was misplaced by </w:t>
      </w:r>
      <w:r w:rsidR="00F71BC7">
        <w:rPr>
          <w:sz w:val="22"/>
        </w:rPr>
        <w:t>Flower</w:t>
      </w:r>
      <w:r w:rsidRPr="008C4B39">
        <w:rPr>
          <w:sz w:val="22"/>
        </w:rPr>
        <w:t xml:space="preserve"> as a result. </w:t>
      </w:r>
    </w:p>
    <w:p w14:paraId="026C5D04" w14:textId="1F96FCA9" w:rsidR="005B6003" w:rsidRPr="008C4B39" w:rsidRDefault="005B6003" w:rsidP="0080229F">
      <w:pPr>
        <w:pStyle w:val="JudgmentNumbered"/>
        <w:ind w:left="0" w:firstLine="0"/>
        <w:rPr>
          <w:sz w:val="22"/>
        </w:rPr>
      </w:pPr>
      <w:r w:rsidRPr="008C4B39">
        <w:rPr>
          <w:sz w:val="22"/>
        </w:rPr>
        <w:t>It is significant that SARS acknowledge</w:t>
      </w:r>
      <w:r w:rsidR="006D183A" w:rsidRPr="008C4B39">
        <w:rPr>
          <w:sz w:val="22"/>
        </w:rPr>
        <w:t>d</w:t>
      </w:r>
      <w:r w:rsidRPr="008C4B39">
        <w:rPr>
          <w:sz w:val="22"/>
        </w:rPr>
        <w:t xml:space="preserve"> in the finalisation of audit findings that it had requested and received from </w:t>
      </w:r>
      <w:r w:rsidR="00F71BC7">
        <w:rPr>
          <w:sz w:val="22"/>
        </w:rPr>
        <w:t>Flower</w:t>
      </w:r>
      <w:r w:rsidRPr="008C4B39">
        <w:rPr>
          <w:sz w:val="22"/>
        </w:rPr>
        <w:t xml:space="preserve">, a breakdown of the pre-trade developmental expenses, which </w:t>
      </w:r>
      <w:r w:rsidR="006D183A" w:rsidRPr="008C4B39">
        <w:rPr>
          <w:sz w:val="22"/>
        </w:rPr>
        <w:t>SARS</w:t>
      </w:r>
      <w:r w:rsidRPr="008C4B39">
        <w:rPr>
          <w:sz w:val="22"/>
        </w:rPr>
        <w:t xml:space="preserve"> factually accepted as having a close connection to </w:t>
      </w:r>
      <w:r w:rsidR="00F71BC7">
        <w:rPr>
          <w:sz w:val="22"/>
        </w:rPr>
        <w:t>Flower</w:t>
      </w:r>
      <w:r w:rsidRPr="008C4B39">
        <w:rPr>
          <w:sz w:val="22"/>
        </w:rPr>
        <w:t xml:space="preserve"> procuring loans and raising finance for the furtherance of the solar farm project as a whole, and which SARS did not challenge factually at that stage. </w:t>
      </w:r>
    </w:p>
    <w:p w14:paraId="12392704" w14:textId="6AE113FC" w:rsidR="005B6003" w:rsidRPr="008C4B39" w:rsidRDefault="00F71BC7" w:rsidP="0080229F">
      <w:pPr>
        <w:pStyle w:val="JudgmentNumbered"/>
        <w:ind w:left="0" w:firstLine="0"/>
        <w:rPr>
          <w:sz w:val="22"/>
        </w:rPr>
      </w:pPr>
      <w:r>
        <w:rPr>
          <w:sz w:val="22"/>
        </w:rPr>
        <w:t>Flower</w:t>
      </w:r>
      <w:r w:rsidR="005B6003" w:rsidRPr="008C4B39">
        <w:rPr>
          <w:sz w:val="22"/>
        </w:rPr>
        <w:t>, on 24 October 2019, filed a notice of appeal against the additional assessment lodged by SARS for the 2014 year as regards the deductibility of the developmental fees that SARS disallowed</w:t>
      </w:r>
      <w:r w:rsidR="00AB1D70" w:rsidRPr="008C4B39">
        <w:rPr>
          <w:sz w:val="22"/>
        </w:rPr>
        <w:t>,</w:t>
      </w:r>
      <w:r w:rsidR="005B6003" w:rsidRPr="008C4B39">
        <w:rPr>
          <w:sz w:val="22"/>
        </w:rPr>
        <w:t xml:space="preserve"> and the consequential understatement penalties that SARS levied </w:t>
      </w:r>
      <w:r w:rsidR="00AB1D70" w:rsidRPr="008C4B39">
        <w:rPr>
          <w:sz w:val="22"/>
        </w:rPr>
        <w:t>against</w:t>
      </w:r>
      <w:r w:rsidR="005B6003" w:rsidRPr="008C4B39">
        <w:rPr>
          <w:sz w:val="22"/>
        </w:rPr>
        <w:t xml:space="preserve"> the taxpayer. </w:t>
      </w:r>
    </w:p>
    <w:p w14:paraId="359A7FA6" w14:textId="7A9F994B" w:rsidR="005B6003" w:rsidRPr="008C4B39" w:rsidRDefault="005B6003" w:rsidP="0080229F">
      <w:pPr>
        <w:pStyle w:val="JudgmentNumbered"/>
        <w:ind w:left="0" w:firstLine="0"/>
        <w:rPr>
          <w:sz w:val="22"/>
        </w:rPr>
      </w:pPr>
      <w:r w:rsidRPr="008C4B39">
        <w:rPr>
          <w:sz w:val="22"/>
        </w:rPr>
        <w:t xml:space="preserve">On 19 March 2024, for reasons not relevant hereto, SARS delivered its </w:t>
      </w:r>
      <w:r w:rsidR="006170DF">
        <w:rPr>
          <w:sz w:val="22"/>
        </w:rPr>
        <w:t>r</w:t>
      </w:r>
      <w:r w:rsidRPr="008C4B39">
        <w:rPr>
          <w:sz w:val="22"/>
        </w:rPr>
        <w:t xml:space="preserve">ule 31 statement, in which SARS conceded that </w:t>
      </w:r>
      <w:r w:rsidRPr="008C4B39">
        <w:rPr>
          <w:i/>
          <w:sz w:val="22"/>
        </w:rPr>
        <w:t xml:space="preserve">SACS </w:t>
      </w:r>
      <w:r w:rsidRPr="008C4B39">
        <w:rPr>
          <w:sz w:val="22"/>
        </w:rPr>
        <w:t xml:space="preserve">and </w:t>
      </w:r>
      <w:r w:rsidRPr="008C4B39">
        <w:rPr>
          <w:i/>
          <w:iCs/>
          <w:sz w:val="22"/>
        </w:rPr>
        <w:t>ITC</w:t>
      </w:r>
      <w:r w:rsidR="00D00925">
        <w:rPr>
          <w:i/>
          <w:iCs/>
          <w:sz w:val="22"/>
        </w:rPr>
        <w:t> </w:t>
      </w:r>
      <w:r w:rsidRPr="008C4B39">
        <w:rPr>
          <w:i/>
          <w:iCs/>
          <w:sz w:val="22"/>
        </w:rPr>
        <w:t>1870</w:t>
      </w:r>
      <w:r w:rsidRPr="008C4B39">
        <w:rPr>
          <w:sz w:val="22"/>
        </w:rPr>
        <w:t xml:space="preserve"> appli</w:t>
      </w:r>
      <w:r w:rsidR="00AB1D70" w:rsidRPr="008C4B39">
        <w:rPr>
          <w:sz w:val="22"/>
        </w:rPr>
        <w:t>ed</w:t>
      </w:r>
      <w:r w:rsidRPr="008C4B39">
        <w:rPr>
          <w:sz w:val="22"/>
        </w:rPr>
        <w:t xml:space="preserve"> and that so</w:t>
      </w:r>
      <w:r w:rsidR="00AB1D70" w:rsidRPr="008C4B39">
        <w:rPr>
          <w:sz w:val="22"/>
        </w:rPr>
        <w:t xml:space="preserve"> c</w:t>
      </w:r>
      <w:r w:rsidRPr="008C4B39">
        <w:rPr>
          <w:sz w:val="22"/>
        </w:rPr>
        <w:t xml:space="preserve">alled </w:t>
      </w:r>
      <w:r w:rsidR="00AB1D70" w:rsidRPr="008C4B39">
        <w:rPr>
          <w:sz w:val="22"/>
        </w:rPr>
        <w:t>“r</w:t>
      </w:r>
      <w:r w:rsidRPr="008C4B39">
        <w:rPr>
          <w:sz w:val="22"/>
        </w:rPr>
        <w:t>elated finance charges</w:t>
      </w:r>
      <w:r w:rsidR="00AB1D70" w:rsidRPr="008C4B39">
        <w:rPr>
          <w:sz w:val="22"/>
        </w:rPr>
        <w:t>”</w:t>
      </w:r>
      <w:r w:rsidRPr="008C4B39">
        <w:rPr>
          <w:sz w:val="22"/>
        </w:rPr>
        <w:t xml:space="preserve">, being category 2 expenses, may be deducted </w:t>
      </w:r>
      <w:r w:rsidR="007C410D" w:rsidRPr="008C4B39">
        <w:rPr>
          <w:sz w:val="22"/>
        </w:rPr>
        <w:t xml:space="preserve">under </w:t>
      </w:r>
      <w:r w:rsidR="007C410D" w:rsidRPr="007C410D">
        <w:rPr>
          <w:sz w:val="22"/>
        </w:rPr>
        <w:t>section</w:t>
      </w:r>
      <w:r w:rsidR="006170DF">
        <w:rPr>
          <w:sz w:val="22"/>
        </w:rPr>
        <w:t> </w:t>
      </w:r>
      <w:r w:rsidRPr="008C4B39">
        <w:rPr>
          <w:sz w:val="22"/>
        </w:rPr>
        <w:t xml:space="preserve">24J. </w:t>
      </w:r>
    </w:p>
    <w:p w14:paraId="031FE0D2" w14:textId="4D8C1F8B" w:rsidR="005B6003" w:rsidRPr="008C4B39" w:rsidRDefault="005B6003" w:rsidP="0022206B">
      <w:pPr>
        <w:pStyle w:val="JudgmentNumbered"/>
        <w:ind w:left="0" w:firstLine="0"/>
        <w:rPr>
          <w:sz w:val="22"/>
        </w:rPr>
      </w:pPr>
      <w:r w:rsidRPr="008C4B39">
        <w:rPr>
          <w:sz w:val="22"/>
        </w:rPr>
        <w:t xml:space="preserve">SARS position in its </w:t>
      </w:r>
      <w:r w:rsidR="006170DF">
        <w:rPr>
          <w:sz w:val="22"/>
        </w:rPr>
        <w:t>r</w:t>
      </w:r>
      <w:r w:rsidRPr="008C4B39">
        <w:rPr>
          <w:sz w:val="22"/>
        </w:rPr>
        <w:t xml:space="preserve">ule 31 statement constituted a complete turnaround, whereas SARS previously alleged that </w:t>
      </w:r>
      <w:r w:rsidRPr="008C4B39">
        <w:rPr>
          <w:i/>
          <w:sz w:val="22"/>
        </w:rPr>
        <w:t xml:space="preserve">SACS </w:t>
      </w:r>
      <w:r w:rsidRPr="008C4B39">
        <w:rPr>
          <w:sz w:val="22"/>
        </w:rPr>
        <w:t>and</w:t>
      </w:r>
      <w:r w:rsidRPr="008C4B39">
        <w:rPr>
          <w:i/>
          <w:iCs/>
          <w:sz w:val="22"/>
        </w:rPr>
        <w:t xml:space="preserve"> ITC</w:t>
      </w:r>
      <w:r w:rsidR="00D00925">
        <w:rPr>
          <w:i/>
          <w:iCs/>
          <w:sz w:val="22"/>
        </w:rPr>
        <w:t> </w:t>
      </w:r>
      <w:r w:rsidRPr="008C4B39">
        <w:rPr>
          <w:i/>
          <w:iCs/>
          <w:sz w:val="22"/>
        </w:rPr>
        <w:t>1870</w:t>
      </w:r>
      <w:r w:rsidRPr="008C4B39">
        <w:rPr>
          <w:sz w:val="22"/>
        </w:rPr>
        <w:t xml:space="preserve"> did not apply </w:t>
      </w:r>
      <w:r w:rsidR="007C410D" w:rsidRPr="008C4B39">
        <w:rPr>
          <w:sz w:val="22"/>
        </w:rPr>
        <w:t>to section</w:t>
      </w:r>
      <w:r w:rsidR="006170DF">
        <w:rPr>
          <w:sz w:val="22"/>
        </w:rPr>
        <w:t> </w:t>
      </w:r>
      <w:r w:rsidRPr="008C4B39">
        <w:rPr>
          <w:sz w:val="22"/>
        </w:rPr>
        <w:t>24J and did not apply to the matter at hand, now SARS</w:t>
      </w:r>
      <w:r w:rsidR="00AB1D70" w:rsidRPr="008C4B39">
        <w:rPr>
          <w:sz w:val="22"/>
        </w:rPr>
        <w:t>,</w:t>
      </w:r>
      <w:r w:rsidRPr="008C4B39">
        <w:rPr>
          <w:sz w:val="22"/>
        </w:rPr>
        <w:t xml:space="preserve"> in terms of its </w:t>
      </w:r>
      <w:r w:rsidR="006170DF">
        <w:rPr>
          <w:sz w:val="22"/>
        </w:rPr>
        <w:t>r</w:t>
      </w:r>
      <w:r w:rsidRPr="008C4B39">
        <w:rPr>
          <w:sz w:val="22"/>
        </w:rPr>
        <w:t>ule 31 statement</w:t>
      </w:r>
      <w:r w:rsidR="00AB1D70" w:rsidRPr="008C4B39">
        <w:rPr>
          <w:sz w:val="22"/>
        </w:rPr>
        <w:t>,</w:t>
      </w:r>
      <w:r w:rsidRPr="008C4B39">
        <w:rPr>
          <w:sz w:val="22"/>
        </w:rPr>
        <w:t xml:space="preserve"> conceded that </w:t>
      </w:r>
      <w:r w:rsidRPr="008C4B39">
        <w:rPr>
          <w:i/>
          <w:sz w:val="22"/>
        </w:rPr>
        <w:t xml:space="preserve">SACS </w:t>
      </w:r>
      <w:r w:rsidRPr="008C4B39">
        <w:rPr>
          <w:sz w:val="22"/>
        </w:rPr>
        <w:t xml:space="preserve">and </w:t>
      </w:r>
      <w:r w:rsidRPr="008C4B39">
        <w:rPr>
          <w:i/>
          <w:iCs/>
          <w:sz w:val="22"/>
        </w:rPr>
        <w:t>ITC</w:t>
      </w:r>
      <w:r w:rsidR="00D00925">
        <w:rPr>
          <w:i/>
          <w:iCs/>
          <w:sz w:val="22"/>
        </w:rPr>
        <w:t> </w:t>
      </w:r>
      <w:r w:rsidRPr="008C4B39">
        <w:rPr>
          <w:i/>
          <w:iCs/>
          <w:sz w:val="22"/>
        </w:rPr>
        <w:t>1870</w:t>
      </w:r>
      <w:r w:rsidRPr="008C4B39">
        <w:rPr>
          <w:sz w:val="22"/>
        </w:rPr>
        <w:t xml:space="preserve"> apply directly to </w:t>
      </w:r>
      <w:r w:rsidR="00AB1D70" w:rsidRPr="008C4B39">
        <w:rPr>
          <w:sz w:val="22"/>
        </w:rPr>
        <w:t>s</w:t>
      </w:r>
      <w:r w:rsidR="006170DF">
        <w:rPr>
          <w:sz w:val="22"/>
        </w:rPr>
        <w:t>ection </w:t>
      </w:r>
      <w:r w:rsidRPr="008C4B39">
        <w:rPr>
          <w:sz w:val="22"/>
        </w:rPr>
        <w:t xml:space="preserve">24J, related finance charges and to the matter at hand. SARS, in short did a </w:t>
      </w:r>
      <w:r w:rsidRPr="008C4B39">
        <w:rPr>
          <w:i/>
          <w:iCs/>
          <w:sz w:val="22"/>
        </w:rPr>
        <w:t>v</w:t>
      </w:r>
      <w:r w:rsidR="00AB1D70" w:rsidRPr="008C4B39">
        <w:rPr>
          <w:i/>
          <w:iCs/>
          <w:sz w:val="22"/>
        </w:rPr>
        <w:t>olte-face</w:t>
      </w:r>
      <w:r w:rsidRPr="008C4B39">
        <w:rPr>
          <w:sz w:val="22"/>
        </w:rPr>
        <w:t xml:space="preserve">. </w:t>
      </w:r>
    </w:p>
    <w:p w14:paraId="79007FC6" w14:textId="21E29702" w:rsidR="005B6003" w:rsidRPr="008C4B39" w:rsidRDefault="005B6003" w:rsidP="00D00925">
      <w:pPr>
        <w:pStyle w:val="JudgmentNumbered"/>
        <w:keepLines/>
        <w:ind w:left="0" w:firstLine="0"/>
        <w:rPr>
          <w:sz w:val="22"/>
        </w:rPr>
      </w:pPr>
      <w:r w:rsidRPr="008C4B39">
        <w:rPr>
          <w:sz w:val="22"/>
        </w:rPr>
        <w:t xml:space="preserve">SARS, in contrast to the grounds of the amended assessment and the basis for disallowing the objection, conceded </w:t>
      </w:r>
      <w:r w:rsidR="00F71BC7">
        <w:rPr>
          <w:sz w:val="22"/>
        </w:rPr>
        <w:t>Flower</w:t>
      </w:r>
      <w:r w:rsidRPr="008C4B39">
        <w:rPr>
          <w:sz w:val="22"/>
        </w:rPr>
        <w:t xml:space="preserve">’s contention in respect of the applicability of “related finance charges” in the definition of interest </w:t>
      </w:r>
      <w:r w:rsidR="007C410D" w:rsidRPr="008C4B39">
        <w:rPr>
          <w:sz w:val="22"/>
        </w:rPr>
        <w:t>in section</w:t>
      </w:r>
      <w:r w:rsidR="006170DF">
        <w:rPr>
          <w:sz w:val="22"/>
        </w:rPr>
        <w:t> </w:t>
      </w:r>
      <w:r w:rsidRPr="008C4B39">
        <w:rPr>
          <w:sz w:val="22"/>
        </w:rPr>
        <w:t>24J(1)(</w:t>
      </w:r>
      <w:r w:rsidRPr="006170DF">
        <w:rPr>
          <w:i/>
          <w:iCs/>
          <w:sz w:val="22"/>
        </w:rPr>
        <w:t>a</w:t>
      </w:r>
      <w:r w:rsidRPr="008C4B39">
        <w:rPr>
          <w:sz w:val="22"/>
        </w:rPr>
        <w:t xml:space="preserve">). However, SARS, whilst conceding that </w:t>
      </w:r>
      <w:r w:rsidR="00F71BC7">
        <w:rPr>
          <w:sz w:val="22"/>
        </w:rPr>
        <w:t>Flower</w:t>
      </w:r>
      <w:r w:rsidRPr="008C4B39">
        <w:rPr>
          <w:sz w:val="22"/>
        </w:rPr>
        <w:t xml:space="preserve"> incurred the pre-trade expenditure, den</w:t>
      </w:r>
      <w:r w:rsidR="00AB1D70" w:rsidRPr="008C4B39">
        <w:rPr>
          <w:sz w:val="22"/>
        </w:rPr>
        <w:t>ied</w:t>
      </w:r>
      <w:r w:rsidRPr="008C4B39">
        <w:rPr>
          <w:sz w:val="22"/>
        </w:rPr>
        <w:t xml:space="preserve"> that it was deductible by </w:t>
      </w:r>
      <w:r w:rsidR="00F71BC7">
        <w:rPr>
          <w:sz w:val="22"/>
        </w:rPr>
        <w:t>Flower</w:t>
      </w:r>
      <w:r w:rsidRPr="008C4B39">
        <w:rPr>
          <w:sz w:val="22"/>
        </w:rPr>
        <w:t xml:space="preserve">. The basis for denying the deduction in the </w:t>
      </w:r>
      <w:r w:rsidR="006170DF">
        <w:rPr>
          <w:sz w:val="22"/>
        </w:rPr>
        <w:t>r</w:t>
      </w:r>
      <w:r w:rsidRPr="008C4B39">
        <w:rPr>
          <w:sz w:val="22"/>
        </w:rPr>
        <w:t xml:space="preserve">ule 31 statement was the paucity of specificity or particularity provided by </w:t>
      </w:r>
      <w:r w:rsidR="00F71BC7">
        <w:rPr>
          <w:sz w:val="22"/>
        </w:rPr>
        <w:t>Flower</w:t>
      </w:r>
      <w:r w:rsidRPr="008C4B39">
        <w:rPr>
          <w:sz w:val="22"/>
        </w:rPr>
        <w:t xml:space="preserve"> in respect of the pre-trade expenditure. In other words, SARS</w:t>
      </w:r>
      <w:r w:rsidR="00AB1D70" w:rsidRPr="008C4B39">
        <w:rPr>
          <w:sz w:val="22"/>
        </w:rPr>
        <w:t>,</w:t>
      </w:r>
      <w:r w:rsidRPr="008C4B39">
        <w:rPr>
          <w:sz w:val="22"/>
        </w:rPr>
        <w:t xml:space="preserve"> in terms of </w:t>
      </w:r>
      <w:r w:rsidR="00AB1D70" w:rsidRPr="008C4B39">
        <w:rPr>
          <w:sz w:val="22"/>
        </w:rPr>
        <w:t>i</w:t>
      </w:r>
      <w:r w:rsidRPr="008C4B39">
        <w:rPr>
          <w:sz w:val="22"/>
        </w:rPr>
        <w:t>t</w:t>
      </w:r>
      <w:r w:rsidR="00AB1D70" w:rsidRPr="008C4B39">
        <w:rPr>
          <w:sz w:val="22"/>
        </w:rPr>
        <w:t>s</w:t>
      </w:r>
      <w:r w:rsidRPr="008C4B39">
        <w:rPr>
          <w:sz w:val="22"/>
        </w:rPr>
        <w:t xml:space="preserve"> </w:t>
      </w:r>
      <w:r w:rsidR="006170DF">
        <w:rPr>
          <w:sz w:val="22"/>
        </w:rPr>
        <w:t>r</w:t>
      </w:r>
      <w:r w:rsidRPr="008C4B39">
        <w:rPr>
          <w:sz w:val="22"/>
        </w:rPr>
        <w:t>ule 31 statement</w:t>
      </w:r>
      <w:r w:rsidR="00AB1D70" w:rsidRPr="008C4B39">
        <w:rPr>
          <w:sz w:val="22"/>
        </w:rPr>
        <w:t>,</w:t>
      </w:r>
      <w:r w:rsidRPr="008C4B39">
        <w:rPr>
          <w:sz w:val="22"/>
        </w:rPr>
        <w:t xml:space="preserve"> proffered a factual challenge to a premise that SARS previously accepted.</w:t>
      </w:r>
    </w:p>
    <w:p w14:paraId="2332C492" w14:textId="17B660A0" w:rsidR="005B6003" w:rsidRPr="008C4B39" w:rsidRDefault="005B6003" w:rsidP="0080229F">
      <w:pPr>
        <w:pStyle w:val="JudgmentNumbered"/>
        <w:ind w:left="0" w:firstLine="0"/>
        <w:rPr>
          <w:sz w:val="22"/>
        </w:rPr>
      </w:pPr>
      <w:r w:rsidRPr="008C4B39">
        <w:rPr>
          <w:sz w:val="22"/>
        </w:rPr>
        <w:t xml:space="preserve">According to SARS, </w:t>
      </w:r>
      <w:r w:rsidR="00F71BC7">
        <w:rPr>
          <w:sz w:val="22"/>
        </w:rPr>
        <w:t>Flower</w:t>
      </w:r>
      <w:r w:rsidRPr="008C4B39">
        <w:rPr>
          <w:sz w:val="22"/>
        </w:rPr>
        <w:t xml:space="preserve"> claimed a </w:t>
      </w:r>
      <w:r w:rsidR="003E5F6C" w:rsidRPr="008C4B39">
        <w:rPr>
          <w:sz w:val="22"/>
        </w:rPr>
        <w:t>plethora of pre-trade expenses under the heading “developmental fees</w:t>
      </w:r>
      <w:r w:rsidR="006170DF">
        <w:rPr>
          <w:sz w:val="22"/>
        </w:rPr>
        <w:t>”</w:t>
      </w:r>
      <w:r w:rsidR="00814548" w:rsidRPr="008C4B39">
        <w:rPr>
          <w:sz w:val="22"/>
        </w:rPr>
        <w:t>,</w:t>
      </w:r>
      <w:r w:rsidR="003E5F6C" w:rsidRPr="008C4B39">
        <w:rPr>
          <w:sz w:val="22"/>
        </w:rPr>
        <w:t xml:space="preserve"> without including the necessary particularity required of </w:t>
      </w:r>
      <w:r w:rsidR="00F71BC7">
        <w:rPr>
          <w:sz w:val="22"/>
        </w:rPr>
        <w:t>Flower</w:t>
      </w:r>
      <w:r w:rsidR="003E5F6C" w:rsidRPr="008C4B39">
        <w:rPr>
          <w:sz w:val="22"/>
        </w:rPr>
        <w:t xml:space="preserve"> in order to discharge the burden of proof in terms of </w:t>
      </w:r>
      <w:r w:rsidR="006170DF">
        <w:rPr>
          <w:sz w:val="22"/>
        </w:rPr>
        <w:t>s</w:t>
      </w:r>
      <w:r w:rsidR="003E5F6C" w:rsidRPr="008C4B39">
        <w:rPr>
          <w:sz w:val="22"/>
        </w:rPr>
        <w:t>ection 102(1)(</w:t>
      </w:r>
      <w:r w:rsidR="003E5F6C" w:rsidRPr="006170DF">
        <w:rPr>
          <w:i/>
          <w:iCs/>
          <w:sz w:val="22"/>
        </w:rPr>
        <w:t>b</w:t>
      </w:r>
      <w:r w:rsidR="003E5F6C" w:rsidRPr="008C4B39">
        <w:rPr>
          <w:sz w:val="22"/>
        </w:rPr>
        <w:t xml:space="preserve">) of the Tax Administration Act. </w:t>
      </w:r>
    </w:p>
    <w:p w14:paraId="6DABE655" w14:textId="51594D55" w:rsidR="003E5F6C" w:rsidRPr="008C4B39" w:rsidRDefault="003E5F6C" w:rsidP="0080229F">
      <w:pPr>
        <w:pStyle w:val="JudgmentNumbered"/>
        <w:ind w:left="0" w:firstLine="0"/>
        <w:rPr>
          <w:sz w:val="22"/>
        </w:rPr>
      </w:pPr>
      <w:r w:rsidRPr="008C4B39">
        <w:rPr>
          <w:sz w:val="22"/>
        </w:rPr>
        <w:t xml:space="preserve">SARS contention is surprising as SARS previously acknowledged that </w:t>
      </w:r>
      <w:r w:rsidR="00F71BC7">
        <w:rPr>
          <w:sz w:val="22"/>
        </w:rPr>
        <w:t>Flower</w:t>
      </w:r>
      <w:r w:rsidRPr="008C4B39">
        <w:rPr>
          <w:sz w:val="22"/>
        </w:rPr>
        <w:t xml:space="preserve"> had supplied it with a breakdown of the pre-trade expenditure and an explanation as to why that pre-trade expenditure was justifiable as a deduction.</w:t>
      </w:r>
    </w:p>
    <w:p w14:paraId="76B04E26" w14:textId="4D138BA9" w:rsidR="00343255" w:rsidRPr="008C4B39" w:rsidRDefault="00343255" w:rsidP="0080229F">
      <w:pPr>
        <w:pStyle w:val="JudgmentNumbered"/>
        <w:ind w:left="0" w:firstLine="0"/>
        <w:rPr>
          <w:sz w:val="22"/>
        </w:rPr>
      </w:pPr>
      <w:r w:rsidRPr="008C4B39">
        <w:rPr>
          <w:sz w:val="22"/>
        </w:rPr>
        <w:t>SARS did not</w:t>
      </w:r>
      <w:r w:rsidR="00814548" w:rsidRPr="008C4B39">
        <w:rPr>
          <w:sz w:val="22"/>
        </w:rPr>
        <w:t>,</w:t>
      </w:r>
      <w:r w:rsidRPr="008C4B39">
        <w:rPr>
          <w:sz w:val="22"/>
        </w:rPr>
        <w:t xml:space="preserve"> prior to delivering its </w:t>
      </w:r>
      <w:r w:rsidR="006170DF">
        <w:rPr>
          <w:sz w:val="22"/>
        </w:rPr>
        <w:t>r</w:t>
      </w:r>
      <w:r w:rsidRPr="008C4B39">
        <w:rPr>
          <w:sz w:val="22"/>
        </w:rPr>
        <w:t xml:space="preserve">ule 31 statement, challenge on a factual level, the closeness of the expenditure to the financial agreements concluded by </w:t>
      </w:r>
      <w:r w:rsidR="00F71BC7">
        <w:rPr>
          <w:sz w:val="22"/>
        </w:rPr>
        <w:t>Flower</w:t>
      </w:r>
      <w:r w:rsidRPr="008C4B39">
        <w:rPr>
          <w:sz w:val="22"/>
        </w:rPr>
        <w:t xml:space="preserve">. </w:t>
      </w:r>
      <w:r w:rsidR="007F5CC7" w:rsidRPr="008C4B39">
        <w:rPr>
          <w:sz w:val="22"/>
        </w:rPr>
        <w:t xml:space="preserve">SARS previous argument, in terms of the revised assessment, was that a close connection was insufficient to merit the deduction claimed by </w:t>
      </w:r>
      <w:r w:rsidR="00F71BC7">
        <w:rPr>
          <w:sz w:val="22"/>
        </w:rPr>
        <w:t>Flower</w:t>
      </w:r>
      <w:r w:rsidR="007F5CC7" w:rsidRPr="008C4B39">
        <w:rPr>
          <w:sz w:val="22"/>
        </w:rPr>
        <w:t xml:space="preserve"> because the pre-trade expenditure did not arise in terms of the financial arrangements themselves.</w:t>
      </w:r>
    </w:p>
    <w:p w14:paraId="64B310FF" w14:textId="170BCC9D" w:rsidR="007F5CC7" w:rsidRPr="008C4B39" w:rsidRDefault="007F5CC7" w:rsidP="00D00925">
      <w:pPr>
        <w:pStyle w:val="JudgmentNumbered"/>
        <w:ind w:left="0" w:firstLine="0"/>
        <w:rPr>
          <w:sz w:val="22"/>
        </w:rPr>
      </w:pPr>
      <w:r w:rsidRPr="008C4B39">
        <w:rPr>
          <w:sz w:val="22"/>
        </w:rPr>
        <w:t>Paragraph</w:t>
      </w:r>
      <w:r w:rsidR="006170DF">
        <w:rPr>
          <w:sz w:val="22"/>
        </w:rPr>
        <w:t> </w:t>
      </w:r>
      <w:r w:rsidRPr="008C4B39">
        <w:rPr>
          <w:sz w:val="22"/>
        </w:rPr>
        <w:t>13 of SARS</w:t>
      </w:r>
      <w:r w:rsidR="006170DF">
        <w:rPr>
          <w:sz w:val="22"/>
        </w:rPr>
        <w:t>’s</w:t>
      </w:r>
      <w:r w:rsidRPr="008C4B39">
        <w:rPr>
          <w:sz w:val="22"/>
        </w:rPr>
        <w:t xml:space="preserve"> </w:t>
      </w:r>
      <w:r w:rsidR="006170DF">
        <w:rPr>
          <w:sz w:val="22"/>
        </w:rPr>
        <w:t>r</w:t>
      </w:r>
      <w:r w:rsidRPr="008C4B39">
        <w:rPr>
          <w:sz w:val="22"/>
        </w:rPr>
        <w:t>ule</w:t>
      </w:r>
      <w:r w:rsidR="006170DF">
        <w:rPr>
          <w:sz w:val="22"/>
        </w:rPr>
        <w:t> </w:t>
      </w:r>
      <w:r w:rsidRPr="008C4B39">
        <w:rPr>
          <w:sz w:val="22"/>
        </w:rPr>
        <w:t xml:space="preserve">31 statement comprises a complete novation of the legal basis of the assessment. It is self-evident that SARS in terms of the </w:t>
      </w:r>
      <w:r w:rsidR="006170DF">
        <w:rPr>
          <w:sz w:val="22"/>
        </w:rPr>
        <w:t>r</w:t>
      </w:r>
      <w:r w:rsidRPr="008C4B39">
        <w:rPr>
          <w:sz w:val="22"/>
        </w:rPr>
        <w:t>ule 31 statement</w:t>
      </w:r>
      <w:r w:rsidR="00425D60" w:rsidRPr="008C4B39">
        <w:rPr>
          <w:sz w:val="22"/>
        </w:rPr>
        <w:t>,</w:t>
      </w:r>
      <w:r w:rsidRPr="008C4B39">
        <w:rPr>
          <w:sz w:val="22"/>
        </w:rPr>
        <w:t xml:space="preserve"> did not merely elucidate or further articulate on the same position previously adopted by it. Contrary to SARS contention, SARS did a complete </w:t>
      </w:r>
      <w:r w:rsidRPr="008C4B39">
        <w:rPr>
          <w:i/>
          <w:iCs/>
          <w:sz w:val="22"/>
        </w:rPr>
        <w:t>about turn</w:t>
      </w:r>
      <w:r w:rsidRPr="008C4B39">
        <w:rPr>
          <w:sz w:val="22"/>
        </w:rPr>
        <w:t xml:space="preserve"> in the </w:t>
      </w:r>
      <w:r w:rsidR="006170DF">
        <w:rPr>
          <w:sz w:val="22"/>
        </w:rPr>
        <w:t>r</w:t>
      </w:r>
      <w:r w:rsidRPr="008C4B39">
        <w:rPr>
          <w:sz w:val="22"/>
        </w:rPr>
        <w:t xml:space="preserve">ule 31 statement. SARS, in the revised assessment, contended that </w:t>
      </w:r>
      <w:r w:rsidR="00F71BC7">
        <w:rPr>
          <w:sz w:val="22"/>
        </w:rPr>
        <w:t>Flower</w:t>
      </w:r>
      <w:r w:rsidRPr="008C4B39">
        <w:rPr>
          <w:sz w:val="22"/>
        </w:rPr>
        <w:t xml:space="preserve">’s stance was incorrect, that </w:t>
      </w:r>
      <w:r w:rsidRPr="008C4B39">
        <w:rPr>
          <w:i/>
          <w:sz w:val="22"/>
        </w:rPr>
        <w:t>SACS</w:t>
      </w:r>
      <w:r w:rsidRPr="008C4B39">
        <w:rPr>
          <w:sz w:val="22"/>
        </w:rPr>
        <w:t xml:space="preserve"> and </w:t>
      </w:r>
      <w:r w:rsidRPr="008C4B39">
        <w:rPr>
          <w:i/>
          <w:iCs/>
          <w:sz w:val="22"/>
        </w:rPr>
        <w:t>ITC</w:t>
      </w:r>
      <w:r w:rsidR="00D00925">
        <w:rPr>
          <w:i/>
          <w:iCs/>
          <w:sz w:val="22"/>
        </w:rPr>
        <w:t> </w:t>
      </w:r>
      <w:r w:rsidRPr="008C4B39">
        <w:rPr>
          <w:i/>
          <w:iCs/>
          <w:sz w:val="22"/>
        </w:rPr>
        <w:t>1870</w:t>
      </w:r>
      <w:r w:rsidRPr="008C4B39">
        <w:rPr>
          <w:sz w:val="22"/>
        </w:rPr>
        <w:t xml:space="preserve"> did not apply, that those cases applied to </w:t>
      </w:r>
      <w:r w:rsidR="002875BA" w:rsidRPr="002875BA">
        <w:rPr>
          <w:sz w:val="22"/>
        </w:rPr>
        <w:t>section</w:t>
      </w:r>
      <w:r w:rsidR="006170DF">
        <w:rPr>
          <w:sz w:val="22"/>
        </w:rPr>
        <w:t> </w:t>
      </w:r>
      <w:r w:rsidRPr="008C4B39">
        <w:rPr>
          <w:sz w:val="22"/>
        </w:rPr>
        <w:t>11(</w:t>
      </w:r>
      <w:proofErr w:type="spellStart"/>
      <w:r w:rsidRPr="006170DF">
        <w:rPr>
          <w:i/>
          <w:iCs/>
          <w:sz w:val="22"/>
        </w:rPr>
        <w:t>b</w:t>
      </w:r>
      <w:r w:rsidRPr="008C4B39">
        <w:rPr>
          <w:sz w:val="22"/>
        </w:rPr>
        <w:t>A</w:t>
      </w:r>
      <w:proofErr w:type="spellEnd"/>
      <w:r w:rsidRPr="008C4B39">
        <w:rPr>
          <w:sz w:val="22"/>
        </w:rPr>
        <w:t xml:space="preserve">) and not </w:t>
      </w:r>
      <w:r w:rsidR="005075D4" w:rsidRPr="008C4B39">
        <w:rPr>
          <w:sz w:val="22"/>
        </w:rPr>
        <w:t>to section</w:t>
      </w:r>
      <w:r w:rsidR="006170DF">
        <w:rPr>
          <w:sz w:val="22"/>
        </w:rPr>
        <w:t> </w:t>
      </w:r>
      <w:r w:rsidRPr="008C4B39">
        <w:rPr>
          <w:sz w:val="22"/>
        </w:rPr>
        <w:t>24J, that the finance charges had to arise directly from and in terms of the finance agreements. In SARS</w:t>
      </w:r>
      <w:r w:rsidR="00D00925">
        <w:rPr>
          <w:sz w:val="22"/>
        </w:rPr>
        <w:t>’s</w:t>
      </w:r>
      <w:r w:rsidRPr="008C4B39">
        <w:rPr>
          <w:sz w:val="22"/>
        </w:rPr>
        <w:t xml:space="preserve"> </w:t>
      </w:r>
      <w:r w:rsidR="00D00925">
        <w:rPr>
          <w:sz w:val="22"/>
        </w:rPr>
        <w:t>r</w:t>
      </w:r>
      <w:r w:rsidRPr="008C4B39">
        <w:rPr>
          <w:sz w:val="22"/>
        </w:rPr>
        <w:t xml:space="preserve">ule 31 statement, it </w:t>
      </w:r>
      <w:r w:rsidR="00D83375" w:rsidRPr="008C4B39">
        <w:rPr>
          <w:sz w:val="22"/>
        </w:rPr>
        <w:t>alleged</w:t>
      </w:r>
      <w:r w:rsidR="00425D60" w:rsidRPr="008C4B39">
        <w:rPr>
          <w:sz w:val="22"/>
        </w:rPr>
        <w:t xml:space="preserve"> </w:t>
      </w:r>
      <w:r w:rsidRPr="008C4B39">
        <w:rPr>
          <w:sz w:val="22"/>
        </w:rPr>
        <w:t xml:space="preserve">that the wide meaning of related </w:t>
      </w:r>
      <w:r w:rsidR="00D83375" w:rsidRPr="008C4B39">
        <w:rPr>
          <w:sz w:val="22"/>
        </w:rPr>
        <w:t>“</w:t>
      </w:r>
      <w:r w:rsidRPr="008C4B39">
        <w:rPr>
          <w:sz w:val="22"/>
        </w:rPr>
        <w:t>finance charges</w:t>
      </w:r>
      <w:r w:rsidR="00D83375" w:rsidRPr="008C4B39">
        <w:rPr>
          <w:sz w:val="22"/>
        </w:rPr>
        <w:t>”</w:t>
      </w:r>
      <w:r w:rsidR="00D00925">
        <w:rPr>
          <w:sz w:val="22"/>
        </w:rPr>
        <w:t>,</w:t>
      </w:r>
      <w:r w:rsidRPr="008C4B39">
        <w:rPr>
          <w:sz w:val="22"/>
        </w:rPr>
        <w:t xml:space="preserve"> always contended for by </w:t>
      </w:r>
      <w:r w:rsidR="00F71BC7">
        <w:rPr>
          <w:sz w:val="22"/>
        </w:rPr>
        <w:t>Flower</w:t>
      </w:r>
      <w:r w:rsidRPr="008C4B39">
        <w:rPr>
          <w:sz w:val="22"/>
        </w:rPr>
        <w:t>, w</w:t>
      </w:r>
      <w:r w:rsidR="00D83375" w:rsidRPr="008C4B39">
        <w:rPr>
          <w:sz w:val="22"/>
        </w:rPr>
        <w:t>as</w:t>
      </w:r>
      <w:r w:rsidRPr="008C4B39">
        <w:rPr>
          <w:sz w:val="22"/>
        </w:rPr>
        <w:t xml:space="preserve"> applicable. </w:t>
      </w:r>
    </w:p>
    <w:p w14:paraId="449FF6F4" w14:textId="7B4DDE80" w:rsidR="007F5CC7" w:rsidRPr="008C4B39" w:rsidRDefault="00D86EF4" w:rsidP="00D00925">
      <w:pPr>
        <w:pStyle w:val="JudgmentNumbered"/>
        <w:keepLines/>
        <w:ind w:left="0" w:firstLine="0"/>
        <w:rPr>
          <w:sz w:val="22"/>
        </w:rPr>
      </w:pPr>
      <w:r w:rsidRPr="008C4B39">
        <w:rPr>
          <w:sz w:val="22"/>
        </w:rPr>
        <w:t>SARS raise</w:t>
      </w:r>
      <w:r w:rsidR="00D83375" w:rsidRPr="008C4B39">
        <w:rPr>
          <w:sz w:val="22"/>
        </w:rPr>
        <w:t>d</w:t>
      </w:r>
      <w:r w:rsidRPr="008C4B39">
        <w:rPr>
          <w:sz w:val="22"/>
        </w:rPr>
        <w:t xml:space="preserve"> the alleged lack of particularity in respect of the pre-trade expenditure</w:t>
      </w:r>
      <w:r w:rsidR="00D83375" w:rsidRPr="008C4B39">
        <w:rPr>
          <w:sz w:val="22"/>
        </w:rPr>
        <w:t xml:space="preserve"> for the first time in its </w:t>
      </w:r>
      <w:r w:rsidR="00D00925">
        <w:rPr>
          <w:sz w:val="22"/>
        </w:rPr>
        <w:t>r</w:t>
      </w:r>
      <w:r w:rsidR="00D83375" w:rsidRPr="008C4B39">
        <w:rPr>
          <w:sz w:val="22"/>
        </w:rPr>
        <w:t xml:space="preserve">ule 31 </w:t>
      </w:r>
      <w:r w:rsidR="005075D4" w:rsidRPr="008C4B39">
        <w:rPr>
          <w:sz w:val="22"/>
        </w:rPr>
        <w:t>statement, However</w:t>
      </w:r>
      <w:r w:rsidRPr="008C4B39">
        <w:rPr>
          <w:sz w:val="22"/>
        </w:rPr>
        <w:t>, SARS did not raise any such concerns</w:t>
      </w:r>
      <w:r w:rsidR="00D83375" w:rsidRPr="008C4B39">
        <w:rPr>
          <w:sz w:val="22"/>
        </w:rPr>
        <w:t xml:space="preserve"> prior to the </w:t>
      </w:r>
      <w:r w:rsidR="00D00925">
        <w:rPr>
          <w:sz w:val="22"/>
        </w:rPr>
        <w:t>r</w:t>
      </w:r>
      <w:r w:rsidR="00D83375" w:rsidRPr="008C4B39">
        <w:rPr>
          <w:sz w:val="22"/>
        </w:rPr>
        <w:t>ule 31 statement</w:t>
      </w:r>
      <w:r w:rsidRPr="008C4B39">
        <w:rPr>
          <w:sz w:val="22"/>
        </w:rPr>
        <w:t xml:space="preserve">. In fact, contrary thereto, SARS accepted the close connection between the pre-trade expenditure claimed as developmental fees and the credit agreements concluded by </w:t>
      </w:r>
      <w:r w:rsidR="00F71BC7">
        <w:rPr>
          <w:sz w:val="22"/>
        </w:rPr>
        <w:t>Flower</w:t>
      </w:r>
      <w:r w:rsidRPr="008C4B39">
        <w:rPr>
          <w:sz w:val="22"/>
        </w:rPr>
        <w:t xml:space="preserve">. There was never a blurring of the nature of the pre-trade expenditure as alleged by SARS in the </w:t>
      </w:r>
      <w:r w:rsidR="00D00925">
        <w:rPr>
          <w:sz w:val="22"/>
        </w:rPr>
        <w:t>r</w:t>
      </w:r>
      <w:r w:rsidRPr="008C4B39">
        <w:rPr>
          <w:sz w:val="22"/>
        </w:rPr>
        <w:t xml:space="preserve">ule 31 statement. </w:t>
      </w:r>
      <w:r w:rsidR="00F71BC7">
        <w:rPr>
          <w:sz w:val="22"/>
        </w:rPr>
        <w:t>Flower</w:t>
      </w:r>
      <w:r w:rsidRPr="008C4B39">
        <w:rPr>
          <w:sz w:val="22"/>
        </w:rPr>
        <w:t xml:space="preserve"> was clear throughout that the developmental fees were of a capital nature. </w:t>
      </w:r>
    </w:p>
    <w:p w14:paraId="47D1D332" w14:textId="3AB56DE4" w:rsidR="00D86EF4" w:rsidRPr="008C4B39" w:rsidRDefault="00D86EF4" w:rsidP="0080229F">
      <w:pPr>
        <w:pStyle w:val="JudgmentNumbered"/>
        <w:ind w:left="0" w:firstLine="0"/>
        <w:rPr>
          <w:sz w:val="22"/>
        </w:rPr>
      </w:pPr>
      <w:r w:rsidRPr="008C4B39">
        <w:rPr>
          <w:sz w:val="22"/>
        </w:rPr>
        <w:t xml:space="preserve">SARS contention in the </w:t>
      </w:r>
      <w:r w:rsidR="00D00925">
        <w:rPr>
          <w:sz w:val="22"/>
        </w:rPr>
        <w:t>r</w:t>
      </w:r>
      <w:r w:rsidRPr="008C4B39">
        <w:rPr>
          <w:sz w:val="22"/>
        </w:rPr>
        <w:t xml:space="preserve">ule 31 statement that there </w:t>
      </w:r>
      <w:r w:rsidR="00D83375" w:rsidRPr="008C4B39">
        <w:rPr>
          <w:sz w:val="22"/>
        </w:rPr>
        <w:t>wa</w:t>
      </w:r>
      <w:r w:rsidRPr="008C4B39">
        <w:rPr>
          <w:sz w:val="22"/>
        </w:rPr>
        <w:t>s a lack of particularity that the expenses qualif</w:t>
      </w:r>
      <w:r w:rsidR="00D83375" w:rsidRPr="008C4B39">
        <w:rPr>
          <w:sz w:val="22"/>
        </w:rPr>
        <w:t>ied</w:t>
      </w:r>
      <w:r w:rsidRPr="008C4B39">
        <w:rPr>
          <w:sz w:val="22"/>
        </w:rPr>
        <w:t xml:space="preserve"> factually as </w:t>
      </w:r>
      <w:r w:rsidR="00A26282" w:rsidRPr="008C4B39">
        <w:rPr>
          <w:sz w:val="22"/>
        </w:rPr>
        <w:t xml:space="preserve">category 2 expenses that are permitted by </w:t>
      </w:r>
      <w:r w:rsidR="00A26282" w:rsidRPr="008C4B39">
        <w:rPr>
          <w:i/>
          <w:sz w:val="22"/>
        </w:rPr>
        <w:t>SACS</w:t>
      </w:r>
      <w:r w:rsidR="00A26282" w:rsidRPr="008C4B39">
        <w:rPr>
          <w:sz w:val="22"/>
        </w:rPr>
        <w:t xml:space="preserve"> and </w:t>
      </w:r>
      <w:r w:rsidR="00A26282" w:rsidRPr="008C4B39">
        <w:rPr>
          <w:i/>
          <w:iCs/>
          <w:sz w:val="22"/>
        </w:rPr>
        <w:t>ITC</w:t>
      </w:r>
      <w:r w:rsidR="00D00925">
        <w:rPr>
          <w:i/>
          <w:iCs/>
          <w:sz w:val="22"/>
        </w:rPr>
        <w:t> </w:t>
      </w:r>
      <w:r w:rsidR="00A26282" w:rsidRPr="008C4B39">
        <w:rPr>
          <w:i/>
          <w:iCs/>
          <w:sz w:val="22"/>
        </w:rPr>
        <w:t>1870</w:t>
      </w:r>
      <w:r w:rsidR="00A26282" w:rsidRPr="008C4B39">
        <w:rPr>
          <w:sz w:val="22"/>
        </w:rPr>
        <w:t xml:space="preserve">, is a completely new case proffered by SARS at the </w:t>
      </w:r>
      <w:r w:rsidR="00D00925">
        <w:rPr>
          <w:sz w:val="22"/>
        </w:rPr>
        <w:t>r</w:t>
      </w:r>
      <w:r w:rsidR="00A26282" w:rsidRPr="008C4B39">
        <w:rPr>
          <w:sz w:val="22"/>
        </w:rPr>
        <w:t xml:space="preserve">ule 31 stage. </w:t>
      </w:r>
    </w:p>
    <w:p w14:paraId="579FF5DC" w14:textId="6B84CE0B" w:rsidR="00A26282" w:rsidRPr="008C4B39" w:rsidRDefault="00A26282" w:rsidP="0080229F">
      <w:pPr>
        <w:pStyle w:val="JudgmentNumbered"/>
        <w:ind w:left="0" w:firstLine="0"/>
        <w:rPr>
          <w:sz w:val="22"/>
        </w:rPr>
      </w:pPr>
      <w:r w:rsidRPr="008C4B39">
        <w:rPr>
          <w:sz w:val="22"/>
        </w:rPr>
        <w:t>Whereas previously SARS accepted that the expenditure was category</w:t>
      </w:r>
      <w:r w:rsidR="00D00925">
        <w:rPr>
          <w:sz w:val="22"/>
        </w:rPr>
        <w:t> </w:t>
      </w:r>
      <w:r w:rsidRPr="008C4B39">
        <w:rPr>
          <w:sz w:val="22"/>
        </w:rPr>
        <w:t>2 expenditure but contended that such category</w:t>
      </w:r>
      <w:r w:rsidR="00D00925">
        <w:rPr>
          <w:sz w:val="22"/>
        </w:rPr>
        <w:t> </w:t>
      </w:r>
      <w:r w:rsidRPr="008C4B39">
        <w:rPr>
          <w:sz w:val="22"/>
        </w:rPr>
        <w:t xml:space="preserve">2 expenditure was legally insufficient to justify the deduction, now SARS advanced a wholly different and contrary case. </w:t>
      </w:r>
    </w:p>
    <w:p w14:paraId="538F6169" w14:textId="40BD97DF" w:rsidR="008B752F" w:rsidRPr="008C4B39" w:rsidRDefault="00A26282" w:rsidP="0080229F">
      <w:pPr>
        <w:pStyle w:val="JudgmentNumbered"/>
        <w:ind w:left="0" w:firstLine="0"/>
        <w:rPr>
          <w:sz w:val="22"/>
        </w:rPr>
      </w:pPr>
      <w:r w:rsidRPr="008C4B39">
        <w:rPr>
          <w:sz w:val="22"/>
        </w:rPr>
        <w:t xml:space="preserve">The prejudice to the taxpayer resulting from SARS changing its course midstream is significant. Both the legal premise previously proffered by SARS as well as the factual premise of SARS case </w:t>
      </w:r>
      <w:r w:rsidR="008B752F" w:rsidRPr="008C4B39">
        <w:rPr>
          <w:sz w:val="22"/>
        </w:rPr>
        <w:t>wa</w:t>
      </w:r>
      <w:r w:rsidRPr="008C4B39">
        <w:rPr>
          <w:sz w:val="22"/>
        </w:rPr>
        <w:t xml:space="preserve">s novated by the </w:t>
      </w:r>
      <w:r w:rsidR="00D00925">
        <w:rPr>
          <w:sz w:val="22"/>
        </w:rPr>
        <w:t>r</w:t>
      </w:r>
      <w:r w:rsidRPr="008C4B39">
        <w:rPr>
          <w:sz w:val="22"/>
        </w:rPr>
        <w:t>ule 31 statement. SARS new case required the taxpayer to undergo a massive factual enquiry in respect of expenditure incurred prior to 2014, in order to locate the necessary documents and witnesses. This is in circumstances where SARS previously acknowledged in the assessment</w:t>
      </w:r>
      <w:r w:rsidR="008B752F" w:rsidRPr="008C4B39">
        <w:rPr>
          <w:sz w:val="22"/>
        </w:rPr>
        <w:t>,</w:t>
      </w:r>
      <w:r w:rsidRPr="008C4B39">
        <w:rPr>
          <w:sz w:val="22"/>
        </w:rPr>
        <w:t xml:space="preserve"> that </w:t>
      </w:r>
      <w:r w:rsidR="00F71BC7">
        <w:rPr>
          <w:sz w:val="22"/>
        </w:rPr>
        <w:t>Flower</w:t>
      </w:r>
      <w:r w:rsidRPr="008C4B39">
        <w:rPr>
          <w:sz w:val="22"/>
        </w:rPr>
        <w:t xml:space="preserve"> provided a breakdown of the expenditure claimed and an explanation for the deduction claimed by </w:t>
      </w:r>
      <w:r w:rsidR="00F71BC7">
        <w:rPr>
          <w:sz w:val="22"/>
        </w:rPr>
        <w:t>Flower</w:t>
      </w:r>
      <w:r w:rsidRPr="008C4B39">
        <w:rPr>
          <w:sz w:val="22"/>
        </w:rPr>
        <w:t xml:space="preserve">. </w:t>
      </w:r>
    </w:p>
    <w:p w14:paraId="2EA7EAD0" w14:textId="38636705" w:rsidR="00A26282" w:rsidRPr="008C4B39" w:rsidRDefault="00A26282" w:rsidP="0080229F">
      <w:pPr>
        <w:pStyle w:val="JudgmentNumbered"/>
        <w:ind w:left="0" w:firstLine="0"/>
        <w:rPr>
          <w:sz w:val="22"/>
        </w:rPr>
      </w:pPr>
      <w:r w:rsidRPr="008C4B39">
        <w:rPr>
          <w:sz w:val="22"/>
        </w:rPr>
        <w:t>In the circumstances, SARS</w:t>
      </w:r>
      <w:r w:rsidR="00D00925">
        <w:rPr>
          <w:sz w:val="22"/>
        </w:rPr>
        <w:t>’s</w:t>
      </w:r>
      <w:r w:rsidRPr="008C4B39">
        <w:rPr>
          <w:sz w:val="22"/>
        </w:rPr>
        <w:t xml:space="preserve"> </w:t>
      </w:r>
      <w:r w:rsidR="00D00925">
        <w:rPr>
          <w:sz w:val="22"/>
        </w:rPr>
        <w:t>r</w:t>
      </w:r>
      <w:r w:rsidRPr="008C4B39">
        <w:rPr>
          <w:sz w:val="22"/>
        </w:rPr>
        <w:t xml:space="preserve">ule 31 statement does not comply with </w:t>
      </w:r>
      <w:r w:rsidR="00D00925">
        <w:rPr>
          <w:sz w:val="22"/>
        </w:rPr>
        <w:t>r</w:t>
      </w:r>
      <w:r w:rsidRPr="008C4B39">
        <w:rPr>
          <w:sz w:val="22"/>
        </w:rPr>
        <w:t xml:space="preserve">ule 31(3) in that it constitutes a novation of the whole of the factual and the legal basis of the disputed assessment and, the new grounds introduced in the </w:t>
      </w:r>
      <w:r w:rsidR="00D00925">
        <w:rPr>
          <w:sz w:val="22"/>
        </w:rPr>
        <w:t>r</w:t>
      </w:r>
      <w:r w:rsidRPr="008C4B39">
        <w:rPr>
          <w:sz w:val="22"/>
        </w:rPr>
        <w:t xml:space="preserve">ule 31 statement require the issue by SARS of a revised assessment. </w:t>
      </w:r>
    </w:p>
    <w:p w14:paraId="7AE80AFF" w14:textId="64145271" w:rsidR="00A26282" w:rsidRPr="008C4B39" w:rsidRDefault="00A26282" w:rsidP="0080229F">
      <w:pPr>
        <w:pStyle w:val="JudgmentNumbered"/>
        <w:ind w:left="0" w:firstLine="0"/>
        <w:rPr>
          <w:sz w:val="22"/>
        </w:rPr>
      </w:pPr>
      <w:r w:rsidRPr="008C4B39">
        <w:rPr>
          <w:sz w:val="22"/>
        </w:rPr>
        <w:t>In respect of SARS</w:t>
      </w:r>
      <w:r w:rsidR="008B752F" w:rsidRPr="008C4B39">
        <w:rPr>
          <w:sz w:val="22"/>
        </w:rPr>
        <w:t xml:space="preserve"> </w:t>
      </w:r>
      <w:r w:rsidRPr="008C4B39">
        <w:rPr>
          <w:sz w:val="22"/>
        </w:rPr>
        <w:t>claim to ring-fencing</w:t>
      </w:r>
      <w:r w:rsidR="00BF6FE0" w:rsidRPr="008C4B39">
        <w:rPr>
          <w:sz w:val="22"/>
        </w:rPr>
        <w:t xml:space="preserve">, </w:t>
      </w:r>
      <w:r w:rsidR="00C360D9" w:rsidRPr="008C4B39">
        <w:rPr>
          <w:sz w:val="22"/>
        </w:rPr>
        <w:t xml:space="preserve">this is misplaced because </w:t>
      </w:r>
      <w:r w:rsidR="00F71BC7">
        <w:rPr>
          <w:sz w:val="22"/>
        </w:rPr>
        <w:t>Flower</w:t>
      </w:r>
      <w:r w:rsidR="00C360D9" w:rsidRPr="008C4B39">
        <w:rPr>
          <w:sz w:val="22"/>
        </w:rPr>
        <w:t xml:space="preserve"> only has a single trade, the generation and supply of energy to Eskom. </w:t>
      </w:r>
      <w:r w:rsidR="00F71BC7">
        <w:rPr>
          <w:sz w:val="22"/>
        </w:rPr>
        <w:t>Flower</w:t>
      </w:r>
      <w:r w:rsidR="00C360D9" w:rsidRPr="008C4B39">
        <w:rPr>
          <w:sz w:val="22"/>
        </w:rPr>
        <w:t xml:space="preserve"> has a single source of income being Eskom, its only client. Thus, the requirement of the second trade by the taxpayer necessary for ring-fencing to apply, does not arise in this matter and there is no merit to </w:t>
      </w:r>
      <w:r w:rsidR="008B752F" w:rsidRPr="008C4B39">
        <w:rPr>
          <w:sz w:val="22"/>
        </w:rPr>
        <w:t>SARS</w:t>
      </w:r>
      <w:r w:rsidR="00C360D9" w:rsidRPr="008C4B39">
        <w:rPr>
          <w:sz w:val="22"/>
        </w:rPr>
        <w:t xml:space="preserve"> ring-fencing argument. </w:t>
      </w:r>
    </w:p>
    <w:p w14:paraId="32FAC5E2" w14:textId="23F27DB5" w:rsidR="00C360D9" w:rsidRPr="008C4B39" w:rsidRDefault="00C360D9" w:rsidP="0080229F">
      <w:pPr>
        <w:pStyle w:val="JudgmentNumbered"/>
        <w:ind w:left="0" w:firstLine="0"/>
        <w:rPr>
          <w:sz w:val="22"/>
        </w:rPr>
      </w:pPr>
      <w:r w:rsidRPr="008C4B39">
        <w:rPr>
          <w:sz w:val="22"/>
        </w:rPr>
        <w:t xml:space="preserve">As to SARS reliance on </w:t>
      </w:r>
      <w:r w:rsidR="00E71E4D" w:rsidRPr="008C4B39">
        <w:rPr>
          <w:i/>
          <w:iCs/>
          <w:sz w:val="22"/>
        </w:rPr>
        <w:t>Baseline Civil Contractors Pty Ltd v CSARS,</w:t>
      </w:r>
      <w:r w:rsidR="008B752F" w:rsidRPr="008C4B39">
        <w:rPr>
          <w:rStyle w:val="FootnoteReference"/>
          <w:i/>
          <w:iCs/>
          <w:sz w:val="22"/>
        </w:rPr>
        <w:footnoteReference w:id="3"/>
      </w:r>
      <w:r w:rsidRPr="008C4B39">
        <w:rPr>
          <w:sz w:val="22"/>
        </w:rPr>
        <w:t xml:space="preserve"> </w:t>
      </w:r>
      <w:r w:rsidR="00E71E4D" w:rsidRPr="008C4B39">
        <w:rPr>
          <w:i/>
          <w:iCs/>
          <w:sz w:val="22"/>
        </w:rPr>
        <w:t>Baseline</w:t>
      </w:r>
      <w:r w:rsidRPr="008C4B39">
        <w:rPr>
          <w:sz w:val="22"/>
        </w:rPr>
        <w:t xml:space="preserve"> provides an answer to SARS contention that </w:t>
      </w:r>
      <w:r w:rsidR="00F71BC7">
        <w:rPr>
          <w:sz w:val="22"/>
        </w:rPr>
        <w:t>Flower</w:t>
      </w:r>
      <w:r w:rsidRPr="008C4B39">
        <w:rPr>
          <w:sz w:val="22"/>
        </w:rPr>
        <w:t xml:space="preserve"> must plead over on the merits</w:t>
      </w:r>
      <w:r w:rsidR="00E71E4D" w:rsidRPr="008C4B39">
        <w:rPr>
          <w:sz w:val="22"/>
        </w:rPr>
        <w:t>,</w:t>
      </w:r>
      <w:r w:rsidRPr="008C4B39">
        <w:rPr>
          <w:sz w:val="22"/>
        </w:rPr>
        <w:t xml:space="preserve"> and that the merits should proceed to a full hearing prior to this procedural point being raised. </w:t>
      </w:r>
    </w:p>
    <w:p w14:paraId="598642A5" w14:textId="130FE2AD" w:rsidR="00C360D9" w:rsidRPr="008C4B39" w:rsidRDefault="00C360D9" w:rsidP="0080229F">
      <w:pPr>
        <w:pStyle w:val="JudgmentNumbered"/>
        <w:ind w:left="0" w:firstLine="0"/>
        <w:rPr>
          <w:sz w:val="22"/>
        </w:rPr>
      </w:pPr>
      <w:r w:rsidRPr="008C4B39">
        <w:rPr>
          <w:sz w:val="22"/>
        </w:rPr>
        <w:t xml:space="preserve">However, the taxpayer can only be expected to plead over to statements that are permissibly included in the </w:t>
      </w:r>
      <w:r w:rsidR="00D00925">
        <w:rPr>
          <w:sz w:val="22"/>
        </w:rPr>
        <w:t>r</w:t>
      </w:r>
      <w:r w:rsidRPr="008C4B39">
        <w:rPr>
          <w:sz w:val="22"/>
        </w:rPr>
        <w:t>ule 31 statement. The taxpayer is not required to plea</w:t>
      </w:r>
      <w:r w:rsidR="00E71E4D" w:rsidRPr="008C4B39">
        <w:rPr>
          <w:sz w:val="22"/>
        </w:rPr>
        <w:t>d over</w:t>
      </w:r>
      <w:r w:rsidRPr="008C4B39">
        <w:rPr>
          <w:sz w:val="22"/>
        </w:rPr>
        <w:t xml:space="preserve"> to statements that are impermissibly included, as is the case in this matter, where SARS </w:t>
      </w:r>
      <w:r w:rsidR="00E71E4D" w:rsidRPr="008C4B39">
        <w:rPr>
          <w:sz w:val="22"/>
        </w:rPr>
        <w:t>averments</w:t>
      </w:r>
      <w:r w:rsidRPr="008C4B39">
        <w:rPr>
          <w:sz w:val="22"/>
        </w:rPr>
        <w:t xml:space="preserve"> in its </w:t>
      </w:r>
      <w:r w:rsidR="00D00925">
        <w:rPr>
          <w:sz w:val="22"/>
        </w:rPr>
        <w:t>r</w:t>
      </w:r>
      <w:r w:rsidRPr="008C4B39">
        <w:rPr>
          <w:sz w:val="22"/>
        </w:rPr>
        <w:t xml:space="preserve">ule 31 statement contravene </w:t>
      </w:r>
      <w:r w:rsidR="00D00925">
        <w:rPr>
          <w:sz w:val="22"/>
        </w:rPr>
        <w:t>r</w:t>
      </w:r>
      <w:r w:rsidRPr="008C4B39">
        <w:rPr>
          <w:sz w:val="22"/>
        </w:rPr>
        <w:t>ule 31(3), comprising a novation of the entire factual and legal basis of the assessment.</w:t>
      </w:r>
    </w:p>
    <w:p w14:paraId="0EB7A217" w14:textId="0292DB12" w:rsidR="00C360D9" w:rsidRPr="008C4B39" w:rsidRDefault="00C360D9" w:rsidP="0080229F">
      <w:pPr>
        <w:pStyle w:val="JudgmentNumbered"/>
        <w:ind w:left="0" w:firstLine="0"/>
        <w:rPr>
          <w:sz w:val="22"/>
        </w:rPr>
      </w:pPr>
      <w:r w:rsidRPr="008C4B39">
        <w:rPr>
          <w:sz w:val="22"/>
        </w:rPr>
        <w:t xml:space="preserve">To allow SARS now to introduce an entirely new case and expect </w:t>
      </w:r>
      <w:r w:rsidR="00F71BC7">
        <w:rPr>
          <w:sz w:val="22"/>
        </w:rPr>
        <w:t>Flower</w:t>
      </w:r>
      <w:r w:rsidRPr="008C4B39">
        <w:rPr>
          <w:sz w:val="22"/>
        </w:rPr>
        <w:t xml:space="preserve"> to go back 11</w:t>
      </w:r>
      <w:r w:rsidR="00D00925">
        <w:rPr>
          <w:sz w:val="22"/>
        </w:rPr>
        <w:t> </w:t>
      </w:r>
      <w:r w:rsidRPr="008C4B39">
        <w:rPr>
          <w:sz w:val="22"/>
        </w:rPr>
        <w:t>years in order to find the necessary proof</w:t>
      </w:r>
      <w:r w:rsidR="00E71E4D" w:rsidRPr="008C4B39">
        <w:rPr>
          <w:sz w:val="22"/>
        </w:rPr>
        <w:t>,</w:t>
      </w:r>
      <w:r w:rsidRPr="008C4B39">
        <w:rPr>
          <w:sz w:val="22"/>
        </w:rPr>
        <w:t xml:space="preserve"> is prejudicial in the extreme, blatantly unfair and simply untenable. </w:t>
      </w:r>
    </w:p>
    <w:p w14:paraId="35D20048" w14:textId="464B756F" w:rsidR="00C360D9" w:rsidRPr="008C4B39" w:rsidRDefault="00C360D9" w:rsidP="0080229F">
      <w:pPr>
        <w:pStyle w:val="JudgmentNumbered"/>
        <w:ind w:left="0" w:firstLine="0"/>
        <w:rPr>
          <w:sz w:val="22"/>
        </w:rPr>
      </w:pPr>
      <w:r w:rsidRPr="008C4B39">
        <w:rPr>
          <w:sz w:val="22"/>
        </w:rPr>
        <w:t>Furthermore, SARS cannot be permitted to dismiss the objection on grounds that are introduced after the assessment because the taxpayer would not have had an opportunity to object t</w:t>
      </w:r>
      <w:r w:rsidR="00A51C0F" w:rsidRPr="008C4B39">
        <w:rPr>
          <w:sz w:val="22"/>
        </w:rPr>
        <w:t>o t</w:t>
      </w:r>
      <w:r w:rsidRPr="008C4B39">
        <w:rPr>
          <w:sz w:val="22"/>
        </w:rPr>
        <w:t>he</w:t>
      </w:r>
      <w:r w:rsidR="00A51C0F" w:rsidRPr="008C4B39">
        <w:rPr>
          <w:sz w:val="22"/>
        </w:rPr>
        <w:t xml:space="preserve">m. </w:t>
      </w:r>
      <w:r w:rsidRPr="008C4B39">
        <w:rPr>
          <w:sz w:val="22"/>
        </w:rPr>
        <w:t xml:space="preserve"> </w:t>
      </w:r>
    </w:p>
    <w:p w14:paraId="3078137E" w14:textId="5D4588E9" w:rsidR="00A51C0F" w:rsidRPr="008C4B39" w:rsidRDefault="00C360D9" w:rsidP="0080229F">
      <w:pPr>
        <w:pStyle w:val="JudgmentNumbered"/>
        <w:ind w:left="0" w:firstLine="0"/>
        <w:rPr>
          <w:sz w:val="22"/>
        </w:rPr>
      </w:pPr>
      <w:r w:rsidRPr="008C4B39">
        <w:rPr>
          <w:sz w:val="22"/>
        </w:rPr>
        <w:t xml:space="preserve">It is apparent that SARS abandoned the entire legal basis of the assessment, being SARS legal interpretation of </w:t>
      </w:r>
      <w:r w:rsidR="00A51C0F" w:rsidRPr="008C4B39">
        <w:rPr>
          <w:sz w:val="22"/>
        </w:rPr>
        <w:t>s</w:t>
      </w:r>
      <w:r w:rsidR="0028551B">
        <w:rPr>
          <w:sz w:val="22"/>
        </w:rPr>
        <w:t>ection</w:t>
      </w:r>
      <w:r w:rsidR="00D00925">
        <w:rPr>
          <w:sz w:val="22"/>
        </w:rPr>
        <w:t> </w:t>
      </w:r>
      <w:r w:rsidRPr="008C4B39">
        <w:rPr>
          <w:sz w:val="22"/>
        </w:rPr>
        <w:t xml:space="preserve">24J as being distinguishable from </w:t>
      </w:r>
      <w:r w:rsidRPr="008C4B39">
        <w:rPr>
          <w:i/>
          <w:sz w:val="22"/>
        </w:rPr>
        <w:t>SACS</w:t>
      </w:r>
      <w:r w:rsidR="00A51C0F" w:rsidRPr="008C4B39">
        <w:rPr>
          <w:sz w:val="22"/>
        </w:rPr>
        <w:t xml:space="preserve"> </w:t>
      </w:r>
      <w:r w:rsidRPr="008C4B39">
        <w:rPr>
          <w:sz w:val="22"/>
        </w:rPr>
        <w:t>and</w:t>
      </w:r>
      <w:r w:rsidRPr="008C4B39">
        <w:rPr>
          <w:i/>
          <w:iCs/>
          <w:sz w:val="22"/>
        </w:rPr>
        <w:t xml:space="preserve"> ITC</w:t>
      </w:r>
      <w:r w:rsidR="00D00925">
        <w:rPr>
          <w:i/>
          <w:iCs/>
          <w:sz w:val="22"/>
        </w:rPr>
        <w:t> </w:t>
      </w:r>
      <w:r w:rsidRPr="008C4B39">
        <w:rPr>
          <w:i/>
          <w:iCs/>
          <w:sz w:val="22"/>
        </w:rPr>
        <w:t>1870</w:t>
      </w:r>
      <w:r w:rsidRPr="008C4B39">
        <w:rPr>
          <w:sz w:val="22"/>
        </w:rPr>
        <w:t xml:space="preserve">. </w:t>
      </w:r>
    </w:p>
    <w:p w14:paraId="54619F46" w14:textId="6ACCC820" w:rsidR="00C360D9" w:rsidRPr="008C4B39" w:rsidRDefault="00C360D9" w:rsidP="00D00925">
      <w:pPr>
        <w:pStyle w:val="JudgmentNumbered"/>
        <w:ind w:left="0" w:firstLine="0"/>
        <w:rPr>
          <w:sz w:val="22"/>
        </w:rPr>
      </w:pPr>
      <w:r w:rsidRPr="008C4B39">
        <w:rPr>
          <w:sz w:val="22"/>
        </w:rPr>
        <w:t>In the circumstances</w:t>
      </w:r>
      <w:r w:rsidR="00A51C0F" w:rsidRPr="008C4B39">
        <w:rPr>
          <w:sz w:val="22"/>
        </w:rPr>
        <w:t>,</w:t>
      </w:r>
      <w:r w:rsidRPr="008C4B39">
        <w:rPr>
          <w:sz w:val="22"/>
        </w:rPr>
        <w:t xml:space="preserve"> given that </w:t>
      </w:r>
      <w:r w:rsidR="00A51C0F" w:rsidRPr="008C4B39">
        <w:rPr>
          <w:sz w:val="22"/>
        </w:rPr>
        <w:t xml:space="preserve">SARS abandoned </w:t>
      </w:r>
      <w:r w:rsidRPr="008C4B39">
        <w:rPr>
          <w:sz w:val="22"/>
        </w:rPr>
        <w:t xml:space="preserve">the entire legal basis </w:t>
      </w:r>
      <w:r w:rsidR="00A9778A" w:rsidRPr="008C4B39">
        <w:rPr>
          <w:sz w:val="22"/>
        </w:rPr>
        <w:t>of its</w:t>
      </w:r>
      <w:r w:rsidR="00A51C0F" w:rsidRPr="008C4B39">
        <w:rPr>
          <w:sz w:val="22"/>
        </w:rPr>
        <w:t xml:space="preserve"> </w:t>
      </w:r>
      <w:r w:rsidRPr="008C4B39">
        <w:rPr>
          <w:sz w:val="22"/>
        </w:rPr>
        <w:t xml:space="preserve">assessment there is nothing left of this appeal and the matter stands to be determined in favour of </w:t>
      </w:r>
      <w:r w:rsidR="00F71BC7">
        <w:rPr>
          <w:sz w:val="22"/>
        </w:rPr>
        <w:t>Flower</w:t>
      </w:r>
      <w:r w:rsidRPr="008C4B39">
        <w:rPr>
          <w:sz w:val="22"/>
        </w:rPr>
        <w:t>.</w:t>
      </w:r>
    </w:p>
    <w:p w14:paraId="40282775" w14:textId="72D86DC4" w:rsidR="00C360D9" w:rsidRPr="008C4B39" w:rsidRDefault="00C360D9" w:rsidP="00D00925">
      <w:pPr>
        <w:pStyle w:val="JudgmentNumbered"/>
        <w:keepNext/>
        <w:spacing w:after="120"/>
        <w:ind w:left="0" w:firstLine="0"/>
        <w:rPr>
          <w:sz w:val="22"/>
        </w:rPr>
      </w:pPr>
      <w:r w:rsidRPr="008C4B39">
        <w:rPr>
          <w:sz w:val="22"/>
        </w:rPr>
        <w:t xml:space="preserve">In these circumstances and regard being had to </w:t>
      </w:r>
      <w:r w:rsidR="00A51C0F" w:rsidRPr="008C4B39">
        <w:rPr>
          <w:sz w:val="22"/>
        </w:rPr>
        <w:t>s</w:t>
      </w:r>
      <w:r w:rsidR="001241DD">
        <w:rPr>
          <w:sz w:val="22"/>
        </w:rPr>
        <w:t>ection</w:t>
      </w:r>
      <w:r w:rsidR="00D00925">
        <w:rPr>
          <w:sz w:val="22"/>
        </w:rPr>
        <w:t> </w:t>
      </w:r>
      <w:r w:rsidRPr="008C4B39">
        <w:rPr>
          <w:sz w:val="22"/>
        </w:rPr>
        <w:t xml:space="preserve">129 and </w:t>
      </w:r>
      <w:r w:rsidR="00A51C0F" w:rsidRPr="008C4B39">
        <w:rPr>
          <w:sz w:val="22"/>
        </w:rPr>
        <w:t>s</w:t>
      </w:r>
      <w:r w:rsidR="001241DD">
        <w:rPr>
          <w:sz w:val="22"/>
        </w:rPr>
        <w:t>ection</w:t>
      </w:r>
      <w:r w:rsidR="00D00925">
        <w:rPr>
          <w:sz w:val="22"/>
        </w:rPr>
        <w:t> </w:t>
      </w:r>
      <w:r w:rsidRPr="008C4B39">
        <w:rPr>
          <w:sz w:val="22"/>
        </w:rPr>
        <w:t>130 of the Tax Administration Act, 2012, I grant the following order:</w:t>
      </w:r>
    </w:p>
    <w:p w14:paraId="5F7E83FA" w14:textId="77777777" w:rsidR="00343255" w:rsidRPr="008C4B39" w:rsidRDefault="00C360D9" w:rsidP="00D00925">
      <w:pPr>
        <w:pStyle w:val="JudgmentNumbered"/>
        <w:keepNext/>
        <w:numPr>
          <w:ilvl w:val="1"/>
          <w:numId w:val="2"/>
        </w:numPr>
        <w:spacing w:after="120"/>
        <w:ind w:left="1440" w:hanging="720"/>
        <w:rPr>
          <w:sz w:val="22"/>
        </w:rPr>
      </w:pPr>
      <w:r w:rsidRPr="008C4B39">
        <w:rPr>
          <w:sz w:val="22"/>
        </w:rPr>
        <w:t>The additional assessment dated 13 December 2018 stands to be altered in the following manner:</w:t>
      </w:r>
    </w:p>
    <w:p w14:paraId="1399EACF" w14:textId="77777777" w:rsidR="00C360D9" w:rsidRPr="008C4B39" w:rsidRDefault="00C360D9" w:rsidP="00D00925">
      <w:pPr>
        <w:pStyle w:val="JudgmentNumbered"/>
        <w:numPr>
          <w:ilvl w:val="2"/>
          <w:numId w:val="2"/>
        </w:numPr>
        <w:ind w:left="2517" w:hanging="720"/>
        <w:rPr>
          <w:sz w:val="22"/>
        </w:rPr>
      </w:pPr>
      <w:r w:rsidRPr="008C4B39">
        <w:rPr>
          <w:sz w:val="22"/>
        </w:rPr>
        <w:t>The disallowance of the amount of development fees in the sum of R320 984 903 is to be reversed and such amount is to be allowed as a deduction in terms of Section 11A of the Income Tax Act, 1962;</w:t>
      </w:r>
    </w:p>
    <w:p w14:paraId="12D1CAA3" w14:textId="77777777" w:rsidR="00C360D9" w:rsidRPr="008C4B39" w:rsidRDefault="00C360D9" w:rsidP="00D00925">
      <w:pPr>
        <w:pStyle w:val="JudgmentNumbered"/>
        <w:numPr>
          <w:ilvl w:val="2"/>
          <w:numId w:val="2"/>
        </w:numPr>
        <w:ind w:left="2517" w:hanging="720"/>
        <w:rPr>
          <w:sz w:val="22"/>
        </w:rPr>
      </w:pPr>
      <w:r w:rsidRPr="008C4B39">
        <w:rPr>
          <w:sz w:val="22"/>
        </w:rPr>
        <w:t>The understatement penalties consequent upon such disallowance are to be reversed by SARS together with any consequent interest charges;</w:t>
      </w:r>
    </w:p>
    <w:p w14:paraId="155794FA" w14:textId="77777777" w:rsidR="00C360D9" w:rsidRPr="008C4B39" w:rsidRDefault="00C360D9" w:rsidP="00D00925">
      <w:pPr>
        <w:pStyle w:val="JudgmentNumbered"/>
        <w:numPr>
          <w:ilvl w:val="2"/>
          <w:numId w:val="2"/>
        </w:numPr>
        <w:ind w:left="2517" w:hanging="720"/>
        <w:rPr>
          <w:sz w:val="22"/>
        </w:rPr>
      </w:pPr>
      <w:r w:rsidRPr="008C4B39">
        <w:rPr>
          <w:sz w:val="22"/>
        </w:rPr>
        <w:t>The appellant’s pre-trade expenses are not to be ring-fenced but to be included in the calculation of taxable income or assessed loss, where applicable to be carried forward to the following tax year; and</w:t>
      </w:r>
    </w:p>
    <w:p w14:paraId="5BFAF26A" w14:textId="77777777" w:rsidR="00C360D9" w:rsidRPr="008C4B39" w:rsidRDefault="00C360D9" w:rsidP="00D00925">
      <w:pPr>
        <w:pStyle w:val="JudgmentNumbered"/>
        <w:keepNext/>
        <w:keepLines/>
        <w:numPr>
          <w:ilvl w:val="2"/>
          <w:numId w:val="2"/>
        </w:numPr>
        <w:ind w:left="2517" w:hanging="720"/>
        <w:rPr>
          <w:sz w:val="22"/>
        </w:rPr>
      </w:pPr>
      <w:r w:rsidRPr="008C4B39">
        <w:rPr>
          <w:sz w:val="22"/>
        </w:rPr>
        <w:t>The understatement penalties consequent upon the ring-fencing are to be reversed, together with any consequent interest charges.</w:t>
      </w:r>
    </w:p>
    <w:p w14:paraId="4532C42B" w14:textId="77777777" w:rsidR="00C360D9" w:rsidRPr="008C4B39" w:rsidRDefault="00C360D9" w:rsidP="00D00925">
      <w:pPr>
        <w:pStyle w:val="JudgmentNumbered"/>
        <w:keepNext/>
        <w:numPr>
          <w:ilvl w:val="1"/>
          <w:numId w:val="2"/>
        </w:numPr>
        <w:spacing w:after="960"/>
        <w:ind w:left="1440" w:hanging="720"/>
        <w:rPr>
          <w:sz w:val="22"/>
        </w:rPr>
      </w:pPr>
      <w:r w:rsidRPr="008C4B39">
        <w:rPr>
          <w:sz w:val="22"/>
        </w:rPr>
        <w:t>The respondent is ordered to pay the costs of this application and the appeal, including the costs of two counsel on scale C.</w:t>
      </w:r>
    </w:p>
    <w:p w14:paraId="5A487E3C" w14:textId="77777777" w:rsidR="00466311" w:rsidRPr="008C4B39" w:rsidRDefault="00466311" w:rsidP="00F75F16">
      <w:pPr>
        <w:pStyle w:val="JudgmentNumbered"/>
        <w:keepNext/>
        <w:keepLines/>
        <w:numPr>
          <w:ilvl w:val="0"/>
          <w:numId w:val="0"/>
        </w:numPr>
        <w:spacing w:before="360" w:after="0"/>
        <w:ind w:left="567" w:hanging="567"/>
        <w:jc w:val="right"/>
        <w:rPr>
          <w:sz w:val="22"/>
        </w:rPr>
      </w:pPr>
      <w:r w:rsidRPr="008C4B39">
        <w:rPr>
          <w:sz w:val="22"/>
        </w:rPr>
        <w:t>___________________________</w:t>
      </w:r>
    </w:p>
    <w:p w14:paraId="2A1FB40B" w14:textId="3282B24C" w:rsidR="00466311" w:rsidRPr="008C4B39" w:rsidRDefault="003E5F6C" w:rsidP="000A7589">
      <w:pPr>
        <w:pStyle w:val="JudgmentNumbered"/>
        <w:keepNext/>
        <w:keepLines/>
        <w:numPr>
          <w:ilvl w:val="0"/>
          <w:numId w:val="0"/>
        </w:numPr>
        <w:spacing w:after="0"/>
        <w:ind w:left="567" w:hanging="567"/>
        <w:jc w:val="right"/>
        <w:rPr>
          <w:b/>
          <w:sz w:val="22"/>
        </w:rPr>
      </w:pPr>
      <w:r w:rsidRPr="008C4B39">
        <w:rPr>
          <w:b/>
          <w:sz w:val="22"/>
        </w:rPr>
        <w:t>CRUTCHFIELD J</w:t>
      </w:r>
    </w:p>
    <w:p w14:paraId="1D4AC138" w14:textId="77777777" w:rsidR="00466311" w:rsidRPr="008C4B39" w:rsidRDefault="00466311" w:rsidP="000A7589">
      <w:pPr>
        <w:pStyle w:val="JudgmentNumbered"/>
        <w:keepNext/>
        <w:keepLines/>
        <w:numPr>
          <w:ilvl w:val="0"/>
          <w:numId w:val="0"/>
        </w:numPr>
        <w:spacing w:after="0"/>
        <w:ind w:left="567" w:hanging="567"/>
        <w:jc w:val="right"/>
        <w:rPr>
          <w:b/>
          <w:sz w:val="22"/>
        </w:rPr>
      </w:pPr>
      <w:r w:rsidRPr="008C4B39">
        <w:rPr>
          <w:b/>
          <w:sz w:val="22"/>
        </w:rPr>
        <w:t>JUDGE OF THE HIGH COURT</w:t>
      </w:r>
    </w:p>
    <w:p w14:paraId="57E35629" w14:textId="77777777" w:rsidR="00466311" w:rsidRPr="008C4B39" w:rsidRDefault="00466311" w:rsidP="00F346D9">
      <w:pPr>
        <w:pStyle w:val="JudgmentNumbered"/>
        <w:keepNext/>
        <w:keepLines/>
        <w:numPr>
          <w:ilvl w:val="0"/>
          <w:numId w:val="0"/>
        </w:numPr>
        <w:spacing w:after="0"/>
        <w:ind w:left="567" w:hanging="567"/>
        <w:jc w:val="right"/>
        <w:rPr>
          <w:b/>
          <w:sz w:val="22"/>
        </w:rPr>
      </w:pPr>
      <w:r w:rsidRPr="008C4B39">
        <w:rPr>
          <w:b/>
          <w:sz w:val="22"/>
        </w:rPr>
        <w:t>JOHANNESBURG</w:t>
      </w:r>
    </w:p>
    <w:p w14:paraId="7DFC8FB9" w14:textId="77777777" w:rsidR="00FE54C8" w:rsidRPr="008C4B39" w:rsidRDefault="00FE54C8" w:rsidP="00F346D9">
      <w:pPr>
        <w:pStyle w:val="JudgmentNumbered"/>
        <w:keepNext/>
        <w:keepLines/>
        <w:numPr>
          <w:ilvl w:val="0"/>
          <w:numId w:val="0"/>
        </w:numPr>
        <w:spacing w:after="0"/>
        <w:ind w:left="567" w:hanging="567"/>
        <w:jc w:val="right"/>
        <w:rPr>
          <w:b/>
          <w:sz w:val="22"/>
        </w:rPr>
      </w:pPr>
    </w:p>
    <w:p w14:paraId="476D5469" w14:textId="77777777" w:rsidR="00466311" w:rsidRPr="008C4B39" w:rsidRDefault="00466311" w:rsidP="00F346D9">
      <w:pPr>
        <w:pStyle w:val="JudgmentNumbered"/>
        <w:keepNext/>
        <w:keepLines/>
        <w:numPr>
          <w:ilvl w:val="0"/>
          <w:numId w:val="0"/>
        </w:numPr>
        <w:spacing w:after="0"/>
        <w:ind w:left="567" w:hanging="567"/>
        <w:rPr>
          <w:b/>
          <w:sz w:val="22"/>
        </w:rPr>
      </w:pPr>
    </w:p>
    <w:p w14:paraId="44CA0672" w14:textId="77777777" w:rsidR="00992CB8" w:rsidRPr="008C4B39" w:rsidRDefault="00992CB8" w:rsidP="00F346D9">
      <w:pPr>
        <w:keepNext/>
        <w:keepLines/>
        <w:tabs>
          <w:tab w:val="left" w:pos="3969"/>
        </w:tabs>
        <w:ind w:left="3969" w:hanging="3969"/>
        <w:rPr>
          <w:rFonts w:cs="Arial"/>
          <w:sz w:val="22"/>
          <w:szCs w:val="22"/>
        </w:rPr>
      </w:pPr>
    </w:p>
    <w:p w14:paraId="0AF2C77A" w14:textId="4FA7F453" w:rsidR="00992CB8" w:rsidRPr="008C4B39" w:rsidRDefault="00992CB8" w:rsidP="00F346D9">
      <w:pPr>
        <w:keepNext/>
        <w:keepLines/>
        <w:tabs>
          <w:tab w:val="left" w:pos="3969"/>
        </w:tabs>
        <w:ind w:left="3969" w:hanging="3969"/>
        <w:rPr>
          <w:rFonts w:cs="Arial"/>
          <w:sz w:val="22"/>
          <w:szCs w:val="22"/>
        </w:rPr>
      </w:pPr>
      <w:r w:rsidRPr="008C4B39">
        <w:rPr>
          <w:rFonts w:cs="Arial"/>
          <w:sz w:val="22"/>
          <w:szCs w:val="22"/>
        </w:rPr>
        <w:t>Date of the hearing:</w:t>
      </w:r>
      <w:r w:rsidRPr="008C4B39">
        <w:rPr>
          <w:rFonts w:cs="Arial"/>
          <w:sz w:val="22"/>
          <w:szCs w:val="22"/>
        </w:rPr>
        <w:tab/>
        <w:t xml:space="preserve"> 20 August 2024</w:t>
      </w:r>
    </w:p>
    <w:p w14:paraId="0D8CDB32" w14:textId="77777777" w:rsidR="00992CB8" w:rsidRPr="008C4B39" w:rsidRDefault="00992CB8" w:rsidP="00F346D9">
      <w:pPr>
        <w:keepNext/>
        <w:keepLines/>
        <w:tabs>
          <w:tab w:val="left" w:pos="3969"/>
        </w:tabs>
        <w:ind w:left="3969" w:hanging="3969"/>
        <w:rPr>
          <w:rFonts w:cs="Arial"/>
          <w:sz w:val="22"/>
          <w:szCs w:val="22"/>
        </w:rPr>
      </w:pPr>
    </w:p>
    <w:p w14:paraId="381E4CD1" w14:textId="77777777" w:rsidR="00992CB8" w:rsidRPr="008C4B39" w:rsidRDefault="00992CB8" w:rsidP="00F346D9">
      <w:pPr>
        <w:keepNext/>
        <w:keepLines/>
        <w:tabs>
          <w:tab w:val="left" w:pos="3969"/>
        </w:tabs>
        <w:ind w:left="3969" w:hanging="3969"/>
        <w:rPr>
          <w:rFonts w:cs="Arial"/>
          <w:sz w:val="22"/>
          <w:szCs w:val="22"/>
        </w:rPr>
      </w:pPr>
    </w:p>
    <w:p w14:paraId="27FC60C9" w14:textId="5CFCD4D7" w:rsidR="00AA6E8C" w:rsidRPr="008C4B39" w:rsidRDefault="00992CB8" w:rsidP="00D00925">
      <w:pPr>
        <w:keepNext/>
        <w:keepLines/>
        <w:tabs>
          <w:tab w:val="left" w:pos="3969"/>
        </w:tabs>
        <w:ind w:left="3969" w:hanging="3969"/>
        <w:rPr>
          <w:sz w:val="22"/>
          <w:szCs w:val="22"/>
        </w:rPr>
      </w:pPr>
      <w:r w:rsidRPr="008C4B39">
        <w:rPr>
          <w:rFonts w:cs="Arial"/>
          <w:sz w:val="22"/>
          <w:szCs w:val="22"/>
        </w:rPr>
        <w:t>Date of judgment:</w:t>
      </w:r>
      <w:r w:rsidRPr="008C4B39">
        <w:rPr>
          <w:rFonts w:cs="Arial"/>
          <w:sz w:val="22"/>
          <w:szCs w:val="22"/>
        </w:rPr>
        <w:tab/>
        <w:t>3 February 2025</w:t>
      </w:r>
    </w:p>
    <w:sectPr w:rsidR="00AA6E8C" w:rsidRPr="008C4B39" w:rsidSect="008F4D89">
      <w:headerReference w:type="default" r:id="rId10"/>
      <w:footerReference w:type="default" r:id="rId11"/>
      <w:pgSz w:w="11906" w:h="16838" w:code="9"/>
      <w:pgMar w:top="1276" w:right="1440" w:bottom="851"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4C981" w14:textId="77777777" w:rsidR="004138AB" w:rsidRDefault="004138AB">
      <w:r>
        <w:separator/>
      </w:r>
    </w:p>
  </w:endnote>
  <w:endnote w:type="continuationSeparator" w:id="0">
    <w:p w14:paraId="055299A0" w14:textId="77777777" w:rsidR="004138AB" w:rsidRDefault="0041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EAF23" w14:textId="2DDB42DA" w:rsidR="005942E1" w:rsidRPr="00466311" w:rsidRDefault="005942E1" w:rsidP="006170D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1BBD" w14:textId="77777777" w:rsidR="004138AB" w:rsidRDefault="004138AB">
      <w:r>
        <w:separator/>
      </w:r>
    </w:p>
  </w:footnote>
  <w:footnote w:type="continuationSeparator" w:id="0">
    <w:p w14:paraId="43312AFA" w14:textId="77777777" w:rsidR="004138AB" w:rsidRDefault="004138AB">
      <w:r>
        <w:continuationSeparator/>
      </w:r>
    </w:p>
  </w:footnote>
  <w:footnote w:id="1">
    <w:p w14:paraId="75F55D3F" w14:textId="2B964877" w:rsidR="00A91A27" w:rsidRPr="00A91A27" w:rsidRDefault="00A91A27" w:rsidP="00D00925">
      <w:pPr>
        <w:pStyle w:val="FootnoteText"/>
        <w:spacing w:line="264" w:lineRule="auto"/>
        <w:ind w:left="340" w:hanging="340"/>
        <w:rPr>
          <w:lang w:val="en-GB"/>
        </w:rPr>
      </w:pPr>
      <w:r>
        <w:rPr>
          <w:rStyle w:val="FootnoteReference"/>
        </w:rPr>
        <w:footnoteRef/>
      </w:r>
      <w:r>
        <w:t xml:space="preserve"> </w:t>
      </w:r>
      <w:r>
        <w:tab/>
      </w:r>
      <w:r w:rsidRPr="00343255">
        <w:rPr>
          <w:i/>
        </w:rPr>
        <w:t>SARS v South African Custodial Services (Pty) Ltd</w:t>
      </w:r>
      <w:r>
        <w:rPr>
          <w:i/>
        </w:rPr>
        <w:t xml:space="preserve"> </w:t>
      </w:r>
      <w:r w:rsidRPr="00A91A27">
        <w:rPr>
          <w:iCs/>
        </w:rPr>
        <w:t>2012(1) SA 522 (SCA)</w:t>
      </w:r>
      <w:r>
        <w:rPr>
          <w:i/>
        </w:rPr>
        <w:t xml:space="preserve"> (</w:t>
      </w:r>
      <w:r>
        <w:t>“</w:t>
      </w:r>
      <w:r w:rsidRPr="00A91A27">
        <w:rPr>
          <w:i/>
          <w:iCs/>
        </w:rPr>
        <w:t>SACS</w:t>
      </w:r>
      <w:r>
        <w:t>”).</w:t>
      </w:r>
    </w:p>
  </w:footnote>
  <w:footnote w:id="2">
    <w:p w14:paraId="3856D122" w14:textId="1E49036D" w:rsidR="00A91A27" w:rsidRPr="00A91A27" w:rsidRDefault="00A91A27" w:rsidP="00D00925">
      <w:pPr>
        <w:pStyle w:val="FootnoteText"/>
        <w:spacing w:line="264" w:lineRule="auto"/>
        <w:ind w:left="340" w:hanging="340"/>
        <w:rPr>
          <w:lang w:val="en-GB"/>
        </w:rPr>
      </w:pPr>
      <w:r>
        <w:rPr>
          <w:rStyle w:val="FootnoteReference"/>
        </w:rPr>
        <w:footnoteRef/>
      </w:r>
      <w:r>
        <w:t xml:space="preserve"> </w:t>
      </w:r>
      <w:r>
        <w:tab/>
        <w:t>ITC</w:t>
      </w:r>
      <w:r w:rsidR="00D00925">
        <w:t> </w:t>
      </w:r>
      <w:r>
        <w:t>1870.</w:t>
      </w:r>
    </w:p>
  </w:footnote>
  <w:footnote w:id="3">
    <w:p w14:paraId="5B43D5A9" w14:textId="7809D58F" w:rsidR="008B752F" w:rsidRPr="008B752F" w:rsidRDefault="008B752F" w:rsidP="00D00925">
      <w:pPr>
        <w:pStyle w:val="FootnoteText"/>
        <w:spacing w:line="264" w:lineRule="auto"/>
        <w:ind w:left="340" w:hanging="340"/>
        <w:rPr>
          <w:lang w:val="en-GB"/>
        </w:rPr>
      </w:pPr>
      <w:r>
        <w:rPr>
          <w:rStyle w:val="FootnoteReference"/>
        </w:rPr>
        <w:footnoteRef/>
      </w:r>
      <w:r>
        <w:t xml:space="preserve"> </w:t>
      </w:r>
      <w:r w:rsidR="00E71E4D">
        <w:tab/>
      </w:r>
      <w:bookmarkStart w:id="1" w:name="_Hlk189846019"/>
      <w:r w:rsidR="00E71E4D" w:rsidRPr="00E71E4D">
        <w:rPr>
          <w:i/>
          <w:iCs/>
        </w:rPr>
        <w:t>Baseline Civil Contractors Pty Ltd v CSARS</w:t>
      </w:r>
      <w:r w:rsidR="00E71E4D">
        <w:rPr>
          <w:i/>
          <w:iCs/>
        </w:rPr>
        <w:t xml:space="preserve"> </w:t>
      </w:r>
      <w:bookmarkEnd w:id="1"/>
      <w:r w:rsidR="00E71E4D">
        <w:rPr>
          <w:i/>
          <w:iCs/>
        </w:rPr>
        <w:t>[2024 ZAWCHC 113(‘’</w:t>
      </w:r>
      <w:r w:rsidR="00E71E4D">
        <w:rPr>
          <w:i/>
          <w:iCs/>
        </w:rPr>
        <w:t>BaseLine”).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40619"/>
      <w:docPartObj>
        <w:docPartGallery w:val="Page Numbers (Top of Page)"/>
        <w:docPartUnique/>
      </w:docPartObj>
    </w:sdtPr>
    <w:sdtEndPr>
      <w:rPr>
        <w:noProof/>
      </w:rPr>
    </w:sdtEndPr>
    <w:sdtContent>
      <w:p w14:paraId="6AD58798" w14:textId="0CDA7926" w:rsidR="006170DF" w:rsidRDefault="006170DF" w:rsidP="006170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2429"/>
    <w:multiLevelType w:val="hybridMultilevel"/>
    <w:tmpl w:val="5DDAEADE"/>
    <w:lvl w:ilvl="0" w:tplc="859E9736">
      <w:start w:val="1"/>
      <w:numFmt w:val="decimal"/>
      <w:lvlText w:val="(%1)"/>
      <w:lvlJc w:val="left"/>
      <w:pPr>
        <w:tabs>
          <w:tab w:val="num" w:pos="900"/>
        </w:tabs>
        <w:ind w:left="900" w:hanging="72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F45473B"/>
    <w:multiLevelType w:val="multilevel"/>
    <w:tmpl w:val="191A5ECE"/>
    <w:lvl w:ilvl="0">
      <w:start w:val="1"/>
      <w:numFmt w:val="decimal"/>
      <w:pStyle w:val="Judgment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2FFC1874"/>
    <w:multiLevelType w:val="multilevel"/>
    <w:tmpl w:val="712AC7F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728"/>
        </w:tabs>
        <w:ind w:left="1728" w:hanging="1008"/>
      </w:pPr>
      <w:rPr>
        <w:rFonts w:hint="default"/>
      </w:rPr>
    </w:lvl>
    <w:lvl w:ilvl="2">
      <w:start w:val="1"/>
      <w:numFmt w:val="decimal"/>
      <w:lvlText w:val="%1.%2.%3."/>
      <w:lvlJc w:val="left"/>
      <w:pPr>
        <w:tabs>
          <w:tab w:val="num" w:pos="2880"/>
        </w:tabs>
        <w:ind w:left="2880" w:hanging="1152"/>
      </w:pPr>
      <w:rPr>
        <w:rFonts w:hint="default"/>
      </w:rPr>
    </w:lvl>
    <w:lvl w:ilvl="3">
      <w:start w:val="1"/>
      <w:numFmt w:val="decimal"/>
      <w:lvlText w:val="%1.%2.%3.%4."/>
      <w:lvlJc w:val="left"/>
      <w:pPr>
        <w:tabs>
          <w:tab w:val="num" w:pos="3600"/>
        </w:tabs>
        <w:ind w:left="3600" w:hanging="1008"/>
      </w:pPr>
      <w:rPr>
        <w:rFonts w:hint="default"/>
      </w:rPr>
    </w:lvl>
    <w:lvl w:ilvl="4">
      <w:start w:val="1"/>
      <w:numFmt w:val="decimal"/>
      <w:lvlText w:val="%1.%2.%3.%4.%5."/>
      <w:lvlJc w:val="left"/>
      <w:pPr>
        <w:tabs>
          <w:tab w:val="num" w:pos="4752"/>
        </w:tabs>
        <w:ind w:left="4752" w:hanging="1152"/>
      </w:pPr>
      <w:rPr>
        <w:rFonts w:hint="default"/>
      </w:rPr>
    </w:lvl>
    <w:lvl w:ilvl="5">
      <w:start w:val="1"/>
      <w:numFmt w:val="decimal"/>
      <w:lvlText w:val="%1.%2.%3.%4.%5.%6."/>
      <w:lvlJc w:val="left"/>
      <w:pPr>
        <w:tabs>
          <w:tab w:val="num" w:pos="5760"/>
        </w:tabs>
        <w:ind w:left="5760" w:hanging="115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150055479">
    <w:abstractNumId w:val="2"/>
  </w:num>
  <w:num w:numId="2" w16cid:durableId="618144415">
    <w:abstractNumId w:val="1"/>
  </w:num>
  <w:num w:numId="3" w16cid:durableId="1350981935">
    <w:abstractNumId w:val="0"/>
  </w:num>
  <w:num w:numId="4" w16cid:durableId="521749512">
    <w:abstractNumId w:val="1"/>
  </w:num>
  <w:num w:numId="5" w16cid:durableId="1946304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8E"/>
    <w:rsid w:val="0001111B"/>
    <w:rsid w:val="00023A84"/>
    <w:rsid w:val="00024BC0"/>
    <w:rsid w:val="00070BE1"/>
    <w:rsid w:val="000A508C"/>
    <w:rsid w:val="000A7589"/>
    <w:rsid w:val="001241DD"/>
    <w:rsid w:val="001316FF"/>
    <w:rsid w:val="00181CE6"/>
    <w:rsid w:val="0019293F"/>
    <w:rsid w:val="00193FED"/>
    <w:rsid w:val="001A1E8E"/>
    <w:rsid w:val="0022206B"/>
    <w:rsid w:val="0022218D"/>
    <w:rsid w:val="002229FB"/>
    <w:rsid w:val="00262819"/>
    <w:rsid w:val="0028551B"/>
    <w:rsid w:val="002875BA"/>
    <w:rsid w:val="002C1AE5"/>
    <w:rsid w:val="002C456F"/>
    <w:rsid w:val="00312EBC"/>
    <w:rsid w:val="00343255"/>
    <w:rsid w:val="00346DE6"/>
    <w:rsid w:val="00364EF9"/>
    <w:rsid w:val="003E5F6C"/>
    <w:rsid w:val="004138AB"/>
    <w:rsid w:val="00425D60"/>
    <w:rsid w:val="00466311"/>
    <w:rsid w:val="005075D4"/>
    <w:rsid w:val="00551DD3"/>
    <w:rsid w:val="005942E1"/>
    <w:rsid w:val="005B6003"/>
    <w:rsid w:val="005B7AC1"/>
    <w:rsid w:val="005C7FC2"/>
    <w:rsid w:val="005D2DDF"/>
    <w:rsid w:val="006170DF"/>
    <w:rsid w:val="006307DA"/>
    <w:rsid w:val="00631993"/>
    <w:rsid w:val="00640DF1"/>
    <w:rsid w:val="00660C84"/>
    <w:rsid w:val="00680EBF"/>
    <w:rsid w:val="006C5694"/>
    <w:rsid w:val="006D183A"/>
    <w:rsid w:val="006F2FCE"/>
    <w:rsid w:val="00702013"/>
    <w:rsid w:val="007821F1"/>
    <w:rsid w:val="007A5762"/>
    <w:rsid w:val="007C410D"/>
    <w:rsid w:val="007C71A9"/>
    <w:rsid w:val="007F5CC7"/>
    <w:rsid w:val="007F7D06"/>
    <w:rsid w:val="0080229F"/>
    <w:rsid w:val="00814548"/>
    <w:rsid w:val="00836B37"/>
    <w:rsid w:val="00881DC0"/>
    <w:rsid w:val="008B1DA9"/>
    <w:rsid w:val="008B752F"/>
    <w:rsid w:val="008C4B39"/>
    <w:rsid w:val="008D777F"/>
    <w:rsid w:val="008F4D89"/>
    <w:rsid w:val="00905620"/>
    <w:rsid w:val="00912E76"/>
    <w:rsid w:val="00916C9E"/>
    <w:rsid w:val="00944804"/>
    <w:rsid w:val="00992CB8"/>
    <w:rsid w:val="009B08AF"/>
    <w:rsid w:val="009B3DFC"/>
    <w:rsid w:val="009F0884"/>
    <w:rsid w:val="00A26282"/>
    <w:rsid w:val="00A37BA4"/>
    <w:rsid w:val="00A51C0F"/>
    <w:rsid w:val="00A6366A"/>
    <w:rsid w:val="00A91A27"/>
    <w:rsid w:val="00A9778A"/>
    <w:rsid w:val="00AA6E8C"/>
    <w:rsid w:val="00AB0A7B"/>
    <w:rsid w:val="00AB1D70"/>
    <w:rsid w:val="00AC3F65"/>
    <w:rsid w:val="00AC5904"/>
    <w:rsid w:val="00B04E74"/>
    <w:rsid w:val="00B452DA"/>
    <w:rsid w:val="00B57E6C"/>
    <w:rsid w:val="00B72A13"/>
    <w:rsid w:val="00B86CED"/>
    <w:rsid w:val="00BE2FA3"/>
    <w:rsid w:val="00BE45E6"/>
    <w:rsid w:val="00BE64A5"/>
    <w:rsid w:val="00BF6FE0"/>
    <w:rsid w:val="00C360D9"/>
    <w:rsid w:val="00C458AF"/>
    <w:rsid w:val="00C563DC"/>
    <w:rsid w:val="00C57EDF"/>
    <w:rsid w:val="00C77945"/>
    <w:rsid w:val="00C87BC2"/>
    <w:rsid w:val="00CE156E"/>
    <w:rsid w:val="00D00925"/>
    <w:rsid w:val="00D2118E"/>
    <w:rsid w:val="00D35BA8"/>
    <w:rsid w:val="00D83375"/>
    <w:rsid w:val="00D86EF4"/>
    <w:rsid w:val="00D94745"/>
    <w:rsid w:val="00DB552D"/>
    <w:rsid w:val="00DC2FDA"/>
    <w:rsid w:val="00DC6A98"/>
    <w:rsid w:val="00E11E4B"/>
    <w:rsid w:val="00E6644B"/>
    <w:rsid w:val="00E71E4D"/>
    <w:rsid w:val="00E803F2"/>
    <w:rsid w:val="00E965F5"/>
    <w:rsid w:val="00EC1B4A"/>
    <w:rsid w:val="00EC70BC"/>
    <w:rsid w:val="00F1371C"/>
    <w:rsid w:val="00F145CE"/>
    <w:rsid w:val="00F221FC"/>
    <w:rsid w:val="00F346D9"/>
    <w:rsid w:val="00F510E3"/>
    <w:rsid w:val="00F71BC7"/>
    <w:rsid w:val="00F75F16"/>
    <w:rsid w:val="00F83F58"/>
    <w:rsid w:val="00F93967"/>
    <w:rsid w:val="00FC584D"/>
    <w:rsid w:val="00FE459D"/>
    <w:rsid w:val="00FE461E"/>
    <w:rsid w:val="00FE5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0D6AD"/>
  <w15:docId w15:val="{9734A047-F5CC-43E7-882A-B7700B1F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FC"/>
    <w:rPr>
      <w:rFonts w:ascii="Arial" w:hAnsi="Arial"/>
      <w:sz w:val="24"/>
      <w:szCs w:val="24"/>
      <w:lang w:eastAsia="en-US"/>
    </w:rPr>
  </w:style>
  <w:style w:type="paragraph" w:styleId="Heading1">
    <w:name w:val="heading 1"/>
    <w:basedOn w:val="Normal"/>
    <w:next w:val="Normal"/>
    <w:qFormat/>
    <w:pPr>
      <w:keepNext/>
      <w:spacing w:line="480" w:lineRule="auto"/>
      <w:jc w:val="both"/>
      <w:outlineLvl w:val="0"/>
    </w:pPr>
    <w:rPr>
      <w:rFonts w:cs="Arial"/>
      <w:b/>
      <w:bCs/>
    </w:rPr>
  </w:style>
  <w:style w:type="paragraph" w:styleId="Heading2">
    <w:name w:val="heading 2"/>
    <w:basedOn w:val="Normal"/>
    <w:next w:val="Normal"/>
    <w:qFormat/>
    <w:rsid w:val="009B08AF"/>
    <w:pPr>
      <w:keepNext/>
      <w:spacing w:after="480" w:line="480" w:lineRule="auto"/>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480" w:lineRule="auto"/>
      <w:jc w:val="center"/>
    </w:pPr>
    <w:rPr>
      <w:rFonts w:cs="Arial"/>
      <w:b/>
      <w:bCs/>
    </w:rPr>
  </w:style>
  <w:style w:type="paragraph" w:styleId="Header">
    <w:name w:val="header"/>
    <w:basedOn w:val="Normal"/>
    <w:link w:val="HeaderChar"/>
    <w:uiPriority w:val="99"/>
    <w:pPr>
      <w:tabs>
        <w:tab w:val="center" w:pos="4153"/>
        <w:tab w:val="right" w:pos="8306"/>
      </w:tabs>
    </w:pPr>
    <w:rPr>
      <w:lang w:val="en-GB"/>
    </w:rPr>
  </w:style>
  <w:style w:type="character" w:styleId="PageNumber">
    <w:name w:val="page number"/>
    <w:basedOn w:val="DefaultParagraphFont"/>
    <w:semiHidden/>
  </w:style>
  <w:style w:type="paragraph" w:styleId="BodyText">
    <w:name w:val="Body Text"/>
    <w:basedOn w:val="Normal"/>
    <w:semiHidden/>
    <w:pPr>
      <w:jc w:val="both"/>
    </w:pPr>
    <w:rPr>
      <w:bCs/>
    </w:rPr>
  </w:style>
  <w:style w:type="paragraph" w:styleId="Footer">
    <w:name w:val="footer"/>
    <w:basedOn w:val="Normal"/>
    <w:link w:val="FooterChar"/>
    <w:uiPriority w:val="99"/>
    <w:unhideWhenUsed/>
    <w:rsid w:val="008B1DA9"/>
    <w:pPr>
      <w:tabs>
        <w:tab w:val="center" w:pos="4513"/>
        <w:tab w:val="right" w:pos="9026"/>
      </w:tabs>
    </w:pPr>
  </w:style>
  <w:style w:type="character" w:customStyle="1" w:styleId="FooterChar">
    <w:name w:val="Footer Char"/>
    <w:basedOn w:val="DefaultParagraphFont"/>
    <w:link w:val="Footer"/>
    <w:uiPriority w:val="99"/>
    <w:rsid w:val="008B1DA9"/>
    <w:rPr>
      <w:sz w:val="24"/>
      <w:szCs w:val="24"/>
      <w:lang w:eastAsia="en-US"/>
    </w:rPr>
  </w:style>
  <w:style w:type="paragraph" w:customStyle="1" w:styleId="JudgmentNumbered">
    <w:name w:val="Judgment Numbered"/>
    <w:basedOn w:val="Normal"/>
    <w:link w:val="JudgmentNumberedChar"/>
    <w:qFormat/>
    <w:rsid w:val="00466311"/>
    <w:pPr>
      <w:numPr>
        <w:numId w:val="2"/>
      </w:numPr>
      <w:spacing w:after="240" w:line="360" w:lineRule="auto"/>
      <w:jc w:val="both"/>
    </w:pPr>
    <w:rPr>
      <w:rFonts w:eastAsiaTheme="minorHAnsi" w:cs="Arial"/>
      <w:szCs w:val="22"/>
      <w:lang w:val="en-GB"/>
    </w:rPr>
  </w:style>
  <w:style w:type="paragraph" w:customStyle="1" w:styleId="JudgmentHeading">
    <w:name w:val="Judgment Heading"/>
    <w:basedOn w:val="JudgmentNumbered"/>
    <w:next w:val="JudgmentNumbered"/>
    <w:link w:val="JudgmentHeadingChar"/>
    <w:qFormat/>
    <w:rsid w:val="00466311"/>
    <w:pPr>
      <w:numPr>
        <w:numId w:val="0"/>
      </w:numPr>
    </w:pPr>
    <w:rPr>
      <w:i/>
    </w:rPr>
  </w:style>
  <w:style w:type="character" w:customStyle="1" w:styleId="JudgmentNumberedChar">
    <w:name w:val="Judgment Numbered Char"/>
    <w:basedOn w:val="DefaultParagraphFont"/>
    <w:link w:val="JudgmentNumbered"/>
    <w:rsid w:val="00466311"/>
    <w:rPr>
      <w:rFonts w:ascii="Arial" w:eastAsiaTheme="minorHAnsi" w:hAnsi="Arial" w:cs="Arial"/>
      <w:sz w:val="24"/>
      <w:szCs w:val="22"/>
      <w:lang w:val="en-GB" w:eastAsia="en-US"/>
    </w:rPr>
  </w:style>
  <w:style w:type="paragraph" w:customStyle="1" w:styleId="Normal1">
    <w:name w:val="Normal1"/>
    <w:basedOn w:val="Normal"/>
    <w:next w:val="JudgmentHeading"/>
    <w:link w:val="NORMALChar"/>
    <w:qFormat/>
    <w:rsid w:val="00466311"/>
    <w:pPr>
      <w:jc w:val="both"/>
    </w:pPr>
    <w:rPr>
      <w:rFonts w:eastAsiaTheme="minorHAnsi" w:cstheme="minorBidi"/>
      <w:szCs w:val="22"/>
      <w:lang w:val="en-GB"/>
    </w:rPr>
  </w:style>
  <w:style w:type="character" w:customStyle="1" w:styleId="JudgmentHeadingChar">
    <w:name w:val="Judgment Heading Char"/>
    <w:basedOn w:val="JudgmentNumberedChar"/>
    <w:link w:val="JudgmentHeading"/>
    <w:rsid w:val="00466311"/>
    <w:rPr>
      <w:rFonts w:ascii="Arial" w:eastAsiaTheme="minorHAnsi" w:hAnsi="Arial" w:cs="Arial"/>
      <w:i/>
      <w:sz w:val="24"/>
      <w:szCs w:val="22"/>
      <w:lang w:val="en-GB" w:eastAsia="en-US"/>
    </w:rPr>
  </w:style>
  <w:style w:type="character" w:customStyle="1" w:styleId="NORMALChar">
    <w:name w:val="NORMAL Char"/>
    <w:basedOn w:val="DefaultParagraphFont"/>
    <w:link w:val="Normal1"/>
    <w:rsid w:val="00466311"/>
    <w:rPr>
      <w:rFonts w:ascii="Arial" w:eastAsiaTheme="minorHAnsi" w:hAnsi="Arial" w:cstheme="minorBidi"/>
      <w:sz w:val="24"/>
      <w:szCs w:val="22"/>
      <w:lang w:val="en-GB" w:eastAsia="en-US"/>
    </w:rPr>
  </w:style>
  <w:style w:type="paragraph" w:styleId="BalloonText">
    <w:name w:val="Balloon Text"/>
    <w:basedOn w:val="Normal"/>
    <w:link w:val="BalloonTextChar"/>
    <w:uiPriority w:val="99"/>
    <w:semiHidden/>
    <w:unhideWhenUsed/>
    <w:rsid w:val="00466311"/>
    <w:rPr>
      <w:rFonts w:ascii="Tahoma" w:hAnsi="Tahoma" w:cs="Tahoma"/>
      <w:sz w:val="16"/>
      <w:szCs w:val="16"/>
    </w:rPr>
  </w:style>
  <w:style w:type="character" w:customStyle="1" w:styleId="BalloonTextChar">
    <w:name w:val="Balloon Text Char"/>
    <w:basedOn w:val="DefaultParagraphFont"/>
    <w:link w:val="BalloonText"/>
    <w:uiPriority w:val="99"/>
    <w:semiHidden/>
    <w:rsid w:val="00466311"/>
    <w:rPr>
      <w:rFonts w:ascii="Tahoma" w:hAnsi="Tahoma" w:cs="Tahoma"/>
      <w:sz w:val="16"/>
      <w:szCs w:val="16"/>
      <w:lang w:eastAsia="en-US"/>
    </w:rPr>
  </w:style>
  <w:style w:type="paragraph" w:styleId="FootnoteText">
    <w:name w:val="footnote text"/>
    <w:basedOn w:val="Normal"/>
    <w:link w:val="FootnoteTextChar"/>
    <w:uiPriority w:val="99"/>
    <w:semiHidden/>
    <w:unhideWhenUsed/>
    <w:rsid w:val="00A91A27"/>
    <w:rPr>
      <w:sz w:val="20"/>
      <w:szCs w:val="20"/>
    </w:rPr>
  </w:style>
  <w:style w:type="character" w:customStyle="1" w:styleId="FootnoteTextChar">
    <w:name w:val="Footnote Text Char"/>
    <w:basedOn w:val="DefaultParagraphFont"/>
    <w:link w:val="FootnoteText"/>
    <w:uiPriority w:val="99"/>
    <w:semiHidden/>
    <w:rsid w:val="00A91A27"/>
    <w:rPr>
      <w:rFonts w:ascii="Arial" w:hAnsi="Arial"/>
      <w:lang w:eastAsia="en-US"/>
    </w:rPr>
  </w:style>
  <w:style w:type="character" w:styleId="FootnoteReference">
    <w:name w:val="footnote reference"/>
    <w:basedOn w:val="DefaultParagraphFont"/>
    <w:uiPriority w:val="99"/>
    <w:semiHidden/>
    <w:unhideWhenUsed/>
    <w:rsid w:val="00A91A27"/>
    <w:rPr>
      <w:vertAlign w:val="superscript"/>
    </w:rPr>
  </w:style>
  <w:style w:type="paragraph" w:customStyle="1" w:styleId="BodyA">
    <w:name w:val="Body A"/>
    <w:rsid w:val="008F4D89"/>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HeaderChar">
    <w:name w:val="Header Char"/>
    <w:basedOn w:val="DefaultParagraphFont"/>
    <w:link w:val="Header"/>
    <w:uiPriority w:val="99"/>
    <w:rsid w:val="006170DF"/>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102A3.6AE544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udgment%2001.11.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AD8FE-B296-45C9-A6A1-50F7C45A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 01.11.2024</Template>
  <TotalTime>150</TotalTime>
  <Pages>1</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JUDGMENT</vt:lpstr>
    </vt:vector>
  </TitlesOfParts>
  <Company>Group21</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SARSTC IT 25209 (ADM) [2025] ZATC JHB (3 February 2025)</dc:title>
  <dc:creator>Antoinette duToit</dc:creator>
  <cp:keywords>A A CRUTCHFIELD J</cp:keywords>
  <cp:lastModifiedBy>Shane Stoffels</cp:lastModifiedBy>
  <cp:revision>6</cp:revision>
  <cp:lastPrinted>2025-04-09T14:18:00Z</cp:lastPrinted>
  <dcterms:created xsi:type="dcterms:W3CDTF">2025-04-09T08:53:00Z</dcterms:created>
  <dcterms:modified xsi:type="dcterms:W3CDTF">2025-04-09T14:19:00Z</dcterms:modified>
</cp:coreProperties>
</file>