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A2C34" w14:textId="4A9E5855" w:rsidR="00065936" w:rsidRDefault="00065936">
      <w:r w:rsidRPr="00087CEF">
        <w:t xml:space="preserve">RFP </w:t>
      </w:r>
      <w:r w:rsidR="008B34AC">
        <w:t>17</w:t>
      </w:r>
      <w:r w:rsidRPr="00087CEF">
        <w:t>/202</w:t>
      </w:r>
      <w:r w:rsidR="008B34AC">
        <w:t>6</w:t>
      </w:r>
      <w:r w:rsidRPr="00087CEF">
        <w:t xml:space="preserve">: </w:t>
      </w:r>
      <w:r w:rsidR="00A37F3F" w:rsidRPr="00A37F3F">
        <w:t>The supply, installation, day-to-day maintenance and support of electrical systems (low, medium and high voltage) at the South African Revenue Service</w:t>
      </w:r>
    </w:p>
    <w:tbl>
      <w:tblPr>
        <w:tblStyle w:val="TableGrid"/>
        <w:tblW w:w="0" w:type="auto"/>
        <w:tblLook w:val="04A0" w:firstRow="1" w:lastRow="0" w:firstColumn="1" w:lastColumn="0" w:noHBand="0" w:noVBand="1"/>
      </w:tblPr>
      <w:tblGrid>
        <w:gridCol w:w="4122"/>
        <w:gridCol w:w="4894"/>
      </w:tblGrid>
      <w:tr w:rsidR="00087CEF" w:rsidRPr="00087CEF" w14:paraId="506FDF10" w14:textId="77777777" w:rsidTr="00897F14">
        <w:tc>
          <w:tcPr>
            <w:tcW w:w="4122" w:type="dxa"/>
            <w:shd w:val="clear" w:color="auto" w:fill="0F4761" w:themeFill="accent1" w:themeFillShade="BF"/>
          </w:tcPr>
          <w:p w14:paraId="314599EA" w14:textId="30BC667F" w:rsidR="00087CEF" w:rsidRPr="00087CEF" w:rsidRDefault="00087CEF" w:rsidP="00087CEF">
            <w:pPr>
              <w:jc w:val="center"/>
              <w:rPr>
                <w:color w:val="FFFFFF" w:themeColor="background1"/>
              </w:rPr>
            </w:pPr>
            <w:r w:rsidRPr="00087CEF">
              <w:rPr>
                <w:color w:val="FFFFFF" w:themeColor="background1"/>
              </w:rPr>
              <w:t>Question</w:t>
            </w:r>
          </w:p>
        </w:tc>
        <w:tc>
          <w:tcPr>
            <w:tcW w:w="4894" w:type="dxa"/>
            <w:shd w:val="clear" w:color="auto" w:fill="0F4761" w:themeFill="accent1" w:themeFillShade="BF"/>
          </w:tcPr>
          <w:p w14:paraId="562E7CA0" w14:textId="16A02604" w:rsidR="00087CEF" w:rsidRPr="00087CEF" w:rsidRDefault="00087CEF" w:rsidP="00087CEF">
            <w:pPr>
              <w:jc w:val="center"/>
              <w:rPr>
                <w:color w:val="FFFFFF" w:themeColor="background1"/>
              </w:rPr>
            </w:pPr>
            <w:r w:rsidRPr="00087CEF">
              <w:rPr>
                <w:color w:val="FFFFFF" w:themeColor="background1"/>
              </w:rPr>
              <w:t>Answer</w:t>
            </w:r>
          </w:p>
        </w:tc>
      </w:tr>
      <w:tr w:rsidR="00087CEF" w14:paraId="5456D111" w14:textId="77777777" w:rsidTr="00897F14">
        <w:tc>
          <w:tcPr>
            <w:tcW w:w="4122" w:type="dxa"/>
          </w:tcPr>
          <w:p w14:paraId="2DBB0E1D" w14:textId="77777777" w:rsidR="00A37F3F" w:rsidRDefault="00A37F3F" w:rsidP="00A37F3F">
            <w:r>
              <w:t>We would like to request clarification regarding the tender submission requirements for multiple regions.</w:t>
            </w:r>
          </w:p>
          <w:p w14:paraId="7C193A36" w14:textId="77777777" w:rsidR="00A37F3F" w:rsidRDefault="00A37F3F" w:rsidP="00A37F3F">
            <w:r>
              <w:t>We noted that separate bid documents were uploaded for the different regions. If a bidder intends to submit bids for four or more regions, would SARS require each regional bid document to be printed, completed, and submitted separately, or can a bidder complete one document, indicate the relevant regions being tendered for, and submit it together with all the required supporting documents (including proof of address for each region) as a single submission?</w:t>
            </w:r>
          </w:p>
          <w:p w14:paraId="6ECD59F4" w14:textId="6EDB14FD" w:rsidR="00087CEF" w:rsidRDefault="00A37F3F" w:rsidP="00A37F3F">
            <w:r>
              <w:t>We have also observed that the tender submissions for all the regions appear to be submitted at the same location in Gauteng. Based on this, we would appreciate your guidance on the correct submission approach to ensure full compliance with the tender requirements.</w:t>
            </w:r>
          </w:p>
        </w:tc>
        <w:tc>
          <w:tcPr>
            <w:tcW w:w="4894" w:type="dxa"/>
          </w:tcPr>
          <w:p w14:paraId="1043C94E" w14:textId="77777777" w:rsidR="00A37F3F" w:rsidRDefault="00A37F3F" w:rsidP="00A37F3F">
            <w:r>
              <w:t>Yes, bidders are required to prepare and submit separate tender submissions for each region for which they intend to bid.</w:t>
            </w:r>
          </w:p>
          <w:p w14:paraId="138E7F98" w14:textId="77777777" w:rsidR="00A37F3F" w:rsidRDefault="00A37F3F" w:rsidP="00A37F3F"/>
          <w:p w14:paraId="5700CA1E" w14:textId="5CC19DEB" w:rsidR="00087CEF" w:rsidRDefault="00A37F3F" w:rsidP="00A37F3F">
            <w:r>
              <w:t xml:space="preserve">All bid proposals must be deposited in the SARS tender box on or before the closing date and time at the SARS Tender Office, situated at the main entrance at: </w:t>
            </w:r>
            <w:proofErr w:type="spellStart"/>
            <w:r>
              <w:t>Lehae</w:t>
            </w:r>
            <w:proofErr w:type="spellEnd"/>
            <w:r>
              <w:t xml:space="preserve"> La SARS, 299 Bronkhorst Street, Nieuw </w:t>
            </w:r>
            <w:proofErr w:type="spellStart"/>
            <w:r>
              <w:t>Muckleneuk</w:t>
            </w:r>
            <w:proofErr w:type="spellEnd"/>
            <w:r>
              <w:t>, Brooklyn, Pretoria, 0181. Please refer to paragraph 6.4 of the Main RFP Document.</w:t>
            </w:r>
          </w:p>
        </w:tc>
      </w:tr>
      <w:tr w:rsidR="00087CEF" w14:paraId="5A5EE5B7" w14:textId="77777777" w:rsidTr="00897F14">
        <w:tc>
          <w:tcPr>
            <w:tcW w:w="4122" w:type="dxa"/>
          </w:tcPr>
          <w:p w14:paraId="017D75E4" w14:textId="77777777" w:rsidR="00A37F3F" w:rsidRPr="00A37F3F" w:rsidRDefault="00A37F3F" w:rsidP="00A37F3F">
            <w:r w:rsidRPr="00A37F3F">
              <w:t>Please clarify what is meant by folder 1 and Folder 2, does this mean we separate our submission or we can submit it as one but clearly indicate which on is folder 1 and which one is folder 2?</w:t>
            </w:r>
          </w:p>
          <w:p w14:paraId="219F4FCC" w14:textId="464A5F4C" w:rsidR="00087CEF" w:rsidRDefault="00087CEF" w:rsidP="00087CEF"/>
        </w:tc>
        <w:tc>
          <w:tcPr>
            <w:tcW w:w="4894" w:type="dxa"/>
          </w:tcPr>
          <w:p w14:paraId="566ECB84" w14:textId="77777777" w:rsidR="00A37F3F" w:rsidRPr="00A37F3F" w:rsidRDefault="00A37F3F" w:rsidP="00A37F3F">
            <w:r w:rsidRPr="00A37F3F">
              <w:t>Bidders are required to submit separate hardcopy submissions consisting of two (2) files, namely File 1 and File 2, in accordance with the format prescribed in paragraph 6.5.6 of the Main RFP document.</w:t>
            </w:r>
          </w:p>
          <w:p w14:paraId="738271DF" w14:textId="77777777" w:rsidR="00A37F3F" w:rsidRPr="00A37F3F" w:rsidRDefault="00A37F3F" w:rsidP="00A37F3F"/>
          <w:p w14:paraId="77C4F7AF" w14:textId="14115434" w:rsidR="00087CEF" w:rsidRDefault="00A37F3F" w:rsidP="00A37F3F">
            <w:r w:rsidRPr="00A37F3F">
              <w:t>In addition, bidders are required to submit one (1) USB containing both File 1 and File 2 (complete tender submission).</w:t>
            </w:r>
          </w:p>
        </w:tc>
      </w:tr>
      <w:tr w:rsidR="00087CEF" w14:paraId="22EA5684" w14:textId="77777777" w:rsidTr="00897F14">
        <w:tc>
          <w:tcPr>
            <w:tcW w:w="4122" w:type="dxa"/>
          </w:tcPr>
          <w:p w14:paraId="0AAEB760" w14:textId="77777777" w:rsidR="00A37F3F" w:rsidRPr="00A37F3F" w:rsidRDefault="00A37F3F" w:rsidP="00A37F3F">
            <w:r w:rsidRPr="00A37F3F">
              <w:t xml:space="preserve">1. The </w:t>
            </w:r>
            <w:proofErr w:type="spellStart"/>
            <w:r w:rsidRPr="00A37F3F">
              <w:t>envisiged</w:t>
            </w:r>
            <w:proofErr w:type="spellEnd"/>
            <w:r w:rsidRPr="00A37F3F">
              <w:t xml:space="preserve"> intention of stipulating the number of Distribution Boards per site, and the reason for the question is because the BOQ has item </w:t>
            </w:r>
            <w:proofErr w:type="gramStart"/>
            <w:r w:rsidRPr="00A37F3F">
              <w:t>one</w:t>
            </w:r>
            <w:proofErr w:type="gramEnd"/>
            <w:r w:rsidRPr="00A37F3F">
              <w:t xml:space="preserve"> but we total number of DBs is quantified in Table 2 for Gauteng South and Central for example. Please guide us whether we should multiply the rate with total number of DBs or we must stick to the unit rate?</w:t>
            </w:r>
          </w:p>
          <w:p w14:paraId="6BBD9458" w14:textId="77777777" w:rsidR="00A37F3F" w:rsidRPr="00A37F3F" w:rsidRDefault="00A37F3F" w:rsidP="00A37F3F">
            <w:r w:rsidRPr="00A37F3F">
              <w:t>2. Please also clarify what the rate of Health and Safety should be, either per annum or for the 36 months per region?  </w:t>
            </w:r>
          </w:p>
          <w:p w14:paraId="059F821D" w14:textId="050ED2A0" w:rsidR="00087CEF" w:rsidRDefault="00087CEF"/>
        </w:tc>
        <w:tc>
          <w:tcPr>
            <w:tcW w:w="4894" w:type="dxa"/>
          </w:tcPr>
          <w:p w14:paraId="5832FE2E" w14:textId="77777777" w:rsidR="00A37F3F" w:rsidRDefault="00A37F3F" w:rsidP="00A37F3F">
            <w:r>
              <w:t>1. Cost per Distribution Board (DB)</w:t>
            </w:r>
          </w:p>
          <w:p w14:paraId="374E1CAD" w14:textId="77777777" w:rsidR="00A37F3F" w:rsidRDefault="00A37F3F" w:rsidP="00A37F3F"/>
          <w:p w14:paraId="4AAEFD40" w14:textId="77777777" w:rsidR="00A37F3F" w:rsidRDefault="00A37F3F" w:rsidP="00A37F3F">
            <w:r>
              <w:t>Please note that the rate requested is a unit cost per DB. We do not require bidders to multiply or add the total number of DBs indicated in the pricing schedule. Our objective is to establish the individual cost for the Certificate of Compliance (COC) per DB, as well as the cost of the infrastructure scan per DB.</w:t>
            </w:r>
          </w:p>
          <w:p w14:paraId="36366960" w14:textId="77777777" w:rsidR="00A37F3F" w:rsidRDefault="00A37F3F" w:rsidP="00A37F3F"/>
          <w:p w14:paraId="60755BA5" w14:textId="77777777" w:rsidR="00A37F3F" w:rsidRDefault="00A37F3F" w:rsidP="00A37F3F">
            <w:r>
              <w:t xml:space="preserve">The number of DBs provided in the tender documentation is intended only as a reference to give bidders an indication of the scale and extent of the work that may be involved. This information should assist bidders in understanding the project environment and preparing realistic rates. </w:t>
            </w:r>
            <w:r>
              <w:lastRenderedPageBreak/>
              <w:t>However, pricing should remain based on the unit cost per DB and not on the total quantity provided.</w:t>
            </w:r>
          </w:p>
          <w:p w14:paraId="1149A5A2" w14:textId="77777777" w:rsidR="00A37F3F" w:rsidRDefault="00A37F3F" w:rsidP="00A37F3F"/>
          <w:p w14:paraId="5163DF6A" w14:textId="77777777" w:rsidR="00A37F3F" w:rsidRDefault="00A37F3F" w:rsidP="00A37F3F">
            <w:r>
              <w:t>2. Health and Safety File</w:t>
            </w:r>
          </w:p>
          <w:p w14:paraId="7F7EBBBF" w14:textId="77777777" w:rsidR="00A37F3F" w:rsidRDefault="00A37F3F" w:rsidP="00A37F3F"/>
          <w:p w14:paraId="3BF59136" w14:textId="77777777" w:rsidR="00A37F3F" w:rsidRDefault="00A37F3F" w:rsidP="00A37F3F">
            <w:r>
              <w:t>The Health and Safety file should be priced as a once-off cost for the full duration of the contract, which is three (3) years. Bidders are not expected to submit separate annual costs for the Health and Safety file itself.</w:t>
            </w:r>
          </w:p>
          <w:p w14:paraId="56D0A426" w14:textId="77777777" w:rsidR="00A37F3F" w:rsidRDefault="00A37F3F" w:rsidP="00A37F3F"/>
          <w:p w14:paraId="534F43D6" w14:textId="1D363659" w:rsidR="00087CEF" w:rsidRDefault="00A37F3F" w:rsidP="00A37F3F">
            <w:r>
              <w:t>The only recurring requirement during the contract period would generally be the annual renewal or updating of medical certificates and any other compliance-related documentation where applicable. Bidders should therefore take these anticipated updates into consideration and make provision for them when determining their once-off Health and Safety file cost for the entire three-year contract period.</w:t>
            </w:r>
          </w:p>
        </w:tc>
      </w:tr>
      <w:tr w:rsidR="00087CEF" w14:paraId="4A6F6135" w14:textId="77777777" w:rsidTr="00897F14">
        <w:tc>
          <w:tcPr>
            <w:tcW w:w="4122" w:type="dxa"/>
          </w:tcPr>
          <w:p w14:paraId="0D4618E5" w14:textId="77777777" w:rsidR="00A37F3F" w:rsidRDefault="00A37F3F" w:rsidP="00A37F3F">
            <w:r>
              <w:lastRenderedPageBreak/>
              <w:t>I have reviewed the uploaded tender documents RFP 17/2026 and noticed that there is no PDF pricing schedule included. I could only locate the Excel pricing document.</w:t>
            </w:r>
          </w:p>
          <w:p w14:paraId="468E660E" w14:textId="5535BB65" w:rsidR="00087CEF" w:rsidRDefault="00A37F3F" w:rsidP="00A37F3F">
            <w:r>
              <w:t>Kindly advise on the correct submission requirement. Should we complete the Excel pricing schedule, convert it to PDF, and print/sign it, or should the Excel file be submitted in its original format?</w:t>
            </w:r>
          </w:p>
        </w:tc>
        <w:tc>
          <w:tcPr>
            <w:tcW w:w="4894" w:type="dxa"/>
          </w:tcPr>
          <w:p w14:paraId="42703187" w14:textId="77777777" w:rsidR="00702EE3" w:rsidRPr="00702EE3" w:rsidRDefault="00702EE3" w:rsidP="00702EE3">
            <w:r w:rsidRPr="00702EE3">
              <w:t>Bidders are required to submit the Excel version on a USB drive. The Excel file must also be converted to PDF, printed, signed, and submitted as a hard copy.</w:t>
            </w:r>
          </w:p>
          <w:p w14:paraId="5FEE0CD6" w14:textId="14EC25BB" w:rsidR="00702EE3" w:rsidRDefault="00702EE3" w:rsidP="00702EE3"/>
        </w:tc>
      </w:tr>
      <w:tr w:rsidR="00087CEF" w14:paraId="0B8A61C6" w14:textId="77777777" w:rsidTr="00897F14">
        <w:tc>
          <w:tcPr>
            <w:tcW w:w="4122" w:type="dxa"/>
          </w:tcPr>
          <w:p w14:paraId="4A215DC8" w14:textId="0E47DAB1" w:rsidR="00087CEF" w:rsidRDefault="00702EE3" w:rsidP="00702EE3">
            <w:r w:rsidRPr="00702EE3">
              <w:t xml:space="preserve">We would like to ask if PE 3EB may be eligible to respond, to the </w:t>
            </w:r>
            <w:proofErr w:type="gramStart"/>
            <w:r w:rsidRPr="00702EE3">
              <w:t>above mentioned</w:t>
            </w:r>
            <w:proofErr w:type="gramEnd"/>
            <w:r w:rsidRPr="00702EE3">
              <w:t xml:space="preserve"> tender in subject line.</w:t>
            </w:r>
          </w:p>
        </w:tc>
        <w:tc>
          <w:tcPr>
            <w:tcW w:w="4894" w:type="dxa"/>
          </w:tcPr>
          <w:p w14:paraId="7D178D08" w14:textId="6A9EBDB2" w:rsidR="00087CEF" w:rsidRDefault="00702EE3" w:rsidP="00702EE3">
            <w:r w:rsidRPr="00702EE3">
              <w:t>Please refer to paragraph 7.3 of the Main RFP documents for the mandatory minimum CIDB grading requirements applicable to each region. Bidders whose CIDB grading is below the prescribed minimum requirement for the region in which they submit a bid will not be considered for further evaluation.</w:t>
            </w:r>
          </w:p>
        </w:tc>
      </w:tr>
    </w:tbl>
    <w:p w14:paraId="23539062" w14:textId="77777777" w:rsidR="00087CEF" w:rsidRDefault="00087CEF"/>
    <w:sectPr w:rsidR="00087C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457F76"/>
    <w:multiLevelType w:val="hybridMultilevel"/>
    <w:tmpl w:val="FCFCE01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16cid:durableId="1342859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CEF"/>
    <w:rsid w:val="000455A3"/>
    <w:rsid w:val="00060CAC"/>
    <w:rsid w:val="00065936"/>
    <w:rsid w:val="00087CEF"/>
    <w:rsid w:val="000A7C83"/>
    <w:rsid w:val="000C0A52"/>
    <w:rsid w:val="002B7D7D"/>
    <w:rsid w:val="002C2DF5"/>
    <w:rsid w:val="002F4EC0"/>
    <w:rsid w:val="00370D0F"/>
    <w:rsid w:val="0037138F"/>
    <w:rsid w:val="003B2892"/>
    <w:rsid w:val="003D1C9A"/>
    <w:rsid w:val="00441DC9"/>
    <w:rsid w:val="00475ADB"/>
    <w:rsid w:val="00674519"/>
    <w:rsid w:val="006C0857"/>
    <w:rsid w:val="006D5720"/>
    <w:rsid w:val="006D7FCF"/>
    <w:rsid w:val="00702EE3"/>
    <w:rsid w:val="00746B87"/>
    <w:rsid w:val="00766F36"/>
    <w:rsid w:val="00897F14"/>
    <w:rsid w:val="008B34AC"/>
    <w:rsid w:val="008B43EA"/>
    <w:rsid w:val="00927FB0"/>
    <w:rsid w:val="00A37F3F"/>
    <w:rsid w:val="00A54C11"/>
    <w:rsid w:val="00AE0685"/>
    <w:rsid w:val="00C1739E"/>
    <w:rsid w:val="00C4366E"/>
    <w:rsid w:val="00C44B8D"/>
    <w:rsid w:val="00C93072"/>
    <w:rsid w:val="00FB15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6BACA"/>
  <w15:chartTrackingRefBased/>
  <w15:docId w15:val="{B6B0546A-6F5C-409B-A519-2244E85EB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7C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7C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7C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7C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7C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7C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7C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C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C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C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7C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7C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7C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7C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7C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7C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7C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7CEF"/>
    <w:rPr>
      <w:rFonts w:eastAsiaTheme="majorEastAsia" w:cstheme="majorBidi"/>
      <w:color w:val="272727" w:themeColor="text1" w:themeTint="D8"/>
    </w:rPr>
  </w:style>
  <w:style w:type="paragraph" w:styleId="Title">
    <w:name w:val="Title"/>
    <w:basedOn w:val="Normal"/>
    <w:next w:val="Normal"/>
    <w:link w:val="TitleChar"/>
    <w:uiPriority w:val="10"/>
    <w:qFormat/>
    <w:rsid w:val="00087C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C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C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C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7CEF"/>
    <w:pPr>
      <w:spacing w:before="160"/>
      <w:jc w:val="center"/>
    </w:pPr>
    <w:rPr>
      <w:i/>
      <w:iCs/>
      <w:color w:val="404040" w:themeColor="text1" w:themeTint="BF"/>
    </w:rPr>
  </w:style>
  <w:style w:type="character" w:customStyle="1" w:styleId="QuoteChar">
    <w:name w:val="Quote Char"/>
    <w:basedOn w:val="DefaultParagraphFont"/>
    <w:link w:val="Quote"/>
    <w:uiPriority w:val="29"/>
    <w:rsid w:val="00087CEF"/>
    <w:rPr>
      <w:i/>
      <w:iCs/>
      <w:color w:val="404040" w:themeColor="text1" w:themeTint="BF"/>
    </w:rPr>
  </w:style>
  <w:style w:type="paragraph" w:styleId="ListParagraph">
    <w:name w:val="List Paragraph"/>
    <w:basedOn w:val="Normal"/>
    <w:uiPriority w:val="34"/>
    <w:qFormat/>
    <w:rsid w:val="00087CEF"/>
    <w:pPr>
      <w:ind w:left="720"/>
      <w:contextualSpacing/>
    </w:pPr>
  </w:style>
  <w:style w:type="character" w:styleId="IntenseEmphasis">
    <w:name w:val="Intense Emphasis"/>
    <w:basedOn w:val="DefaultParagraphFont"/>
    <w:uiPriority w:val="21"/>
    <w:qFormat/>
    <w:rsid w:val="00087CEF"/>
    <w:rPr>
      <w:i/>
      <w:iCs/>
      <w:color w:val="0F4761" w:themeColor="accent1" w:themeShade="BF"/>
    </w:rPr>
  </w:style>
  <w:style w:type="paragraph" w:styleId="IntenseQuote">
    <w:name w:val="Intense Quote"/>
    <w:basedOn w:val="Normal"/>
    <w:next w:val="Normal"/>
    <w:link w:val="IntenseQuoteChar"/>
    <w:uiPriority w:val="30"/>
    <w:qFormat/>
    <w:rsid w:val="00087C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7CEF"/>
    <w:rPr>
      <w:i/>
      <w:iCs/>
      <w:color w:val="0F4761" w:themeColor="accent1" w:themeShade="BF"/>
    </w:rPr>
  </w:style>
  <w:style w:type="character" w:styleId="IntenseReference">
    <w:name w:val="Intense Reference"/>
    <w:basedOn w:val="DefaultParagraphFont"/>
    <w:uiPriority w:val="32"/>
    <w:qFormat/>
    <w:rsid w:val="00087CEF"/>
    <w:rPr>
      <w:b/>
      <w:bCs/>
      <w:smallCaps/>
      <w:color w:val="0F4761" w:themeColor="accent1" w:themeShade="BF"/>
      <w:spacing w:val="5"/>
    </w:rPr>
  </w:style>
  <w:style w:type="table" w:styleId="TableGrid">
    <w:name w:val="Table Grid"/>
    <w:basedOn w:val="TableNormal"/>
    <w:uiPriority w:val="39"/>
    <w:rsid w:val="00087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7CEF"/>
    <w:rPr>
      <w:color w:val="467886" w:themeColor="hyperlink"/>
      <w:u w:val="single"/>
    </w:rPr>
  </w:style>
  <w:style w:type="character" w:styleId="UnresolvedMention">
    <w:name w:val="Unresolved Mention"/>
    <w:basedOn w:val="DefaultParagraphFont"/>
    <w:uiPriority w:val="99"/>
    <w:semiHidden/>
    <w:unhideWhenUsed/>
    <w:rsid w:val="00087CEF"/>
    <w:rPr>
      <w:color w:val="605E5C"/>
      <w:shd w:val="clear" w:color="auto" w:fill="E1DFDD"/>
    </w:rPr>
  </w:style>
  <w:style w:type="paragraph" w:styleId="Revision">
    <w:name w:val="Revision"/>
    <w:hidden/>
    <w:uiPriority w:val="99"/>
    <w:semiHidden/>
    <w:rsid w:val="00C173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751</Words>
  <Characters>4008</Characters>
  <Application>Microsoft Office Word</Application>
  <DocSecurity>0</DocSecurity>
  <Lines>143</Lines>
  <Paragraphs>51</Paragraphs>
  <ScaleCrop>false</ScaleCrop>
  <HeadingPairs>
    <vt:vector size="2" baseType="variant">
      <vt:variant>
        <vt:lpstr>Title</vt:lpstr>
      </vt:variant>
      <vt:variant>
        <vt:i4>1</vt:i4>
      </vt:variant>
    </vt:vector>
  </HeadingPairs>
  <TitlesOfParts>
    <vt:vector size="1" baseType="lpstr">
      <vt:lpstr/>
    </vt:vector>
  </TitlesOfParts>
  <Company>SARS</Company>
  <LinksUpToDate>false</LinksUpToDate>
  <CharactersWithSpaces>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Siyethemba Mshibe</dc:creator>
  <cp:keywords/>
  <dc:description/>
  <cp:lastModifiedBy>Siyethemba Mshibe</cp:lastModifiedBy>
  <cp:revision>2</cp:revision>
  <dcterms:created xsi:type="dcterms:W3CDTF">2026-09-07T14:15:00Z</dcterms:created>
  <dcterms:modified xsi:type="dcterms:W3CDTF">2026-09-07T14:15:00Z</dcterms:modified>
</cp:coreProperties>
</file>