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59" w:rsidRPr="0074014C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CB3D5F">
        <w:rPr>
          <w:rFonts w:ascii="Arial Bold" w:hAnsi="Arial Bold" w:cs="Arial"/>
          <w:b/>
          <w:caps/>
          <w:sz w:val="22"/>
          <w:szCs w:val="22"/>
        </w:rPr>
        <w:t>A2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8F5E01">
        <w:rPr>
          <w:rFonts w:cs="Arial"/>
          <w:b/>
          <w:color w:val="FF0000"/>
          <w:sz w:val="22"/>
          <w:szCs w:val="22"/>
        </w:rPr>
        <w:t>Example</w:t>
      </w:r>
      <w:r w:rsidR="00511C94">
        <w:rPr>
          <w:rFonts w:cs="Arial"/>
          <w:b/>
          <w:sz w:val="22"/>
          <w:szCs w:val="22"/>
        </w:rPr>
        <w:t xml:space="preserve"> 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3896"/>
        <w:gridCol w:w="1292"/>
        <w:gridCol w:w="1292"/>
        <w:gridCol w:w="1292"/>
        <w:gridCol w:w="1752"/>
        <w:gridCol w:w="2614"/>
      </w:tblGrid>
      <w:tr w:rsidR="00967059" w:rsidRPr="00BD5426" w:rsidTr="00BE40E0">
        <w:tc>
          <w:tcPr>
            <w:tcW w:w="1011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Section</w:t>
            </w:r>
          </w:p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</w:t>
            </w:r>
          </w:p>
        </w:tc>
        <w:tc>
          <w:tcPr>
            <w:tcW w:w="3896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</w:pPr>
            <w:r w:rsidRPr="00BD5426"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  <w:t>Technical Criteria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Partially 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8344C2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Non-Compliant</w:t>
            </w:r>
          </w:p>
        </w:tc>
        <w:tc>
          <w:tcPr>
            <w:tcW w:w="175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Reference page in Proposal</w:t>
            </w:r>
          </w:p>
        </w:tc>
        <w:tc>
          <w:tcPr>
            <w:tcW w:w="2614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Comments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1.2</w:t>
            </w:r>
          </w:p>
        </w:tc>
        <w:tc>
          <w:tcPr>
            <w:tcW w:w="3896" w:type="dxa"/>
            <w:shd w:val="clear" w:color="auto" w:fill="auto"/>
          </w:tcPr>
          <w:p w:rsidR="00967059" w:rsidRPr="003A6961" w:rsidRDefault="003A6961" w:rsidP="00BE40E0">
            <w:pPr>
              <w:spacing w:line="360" w:lineRule="auto"/>
              <w:jc w:val="left"/>
              <w:rPr>
                <w:rFonts w:eastAsia="Calibri" w:cs="Arial"/>
                <w:b/>
                <w:sz w:val="22"/>
                <w:szCs w:val="22"/>
              </w:rPr>
            </w:pPr>
            <w:r w:rsidRPr="003A6961">
              <w:rPr>
                <w:rFonts w:eastAsia="Calibri" w:cs="Arial"/>
                <w:b/>
                <w:sz w:val="22"/>
                <w:szCs w:val="22"/>
              </w:rPr>
              <w:t>Experience of the bidder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9 to 12  - exhibit 2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2.1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 xml:space="preserve">Manage all reservations and bookings 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13 to 15  - exhibit 4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Bidder to state  reason for partial compliance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2.2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3A6961" w:rsidP="00BE40E0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3A6961">
              <w:rPr>
                <w:rFonts w:cs="Arial"/>
                <w:b/>
                <w:bCs/>
                <w:sz w:val="22"/>
                <w:szCs w:val="22"/>
                <w:lang w:eastAsia="en-ZA"/>
              </w:rPr>
              <w:t>Manage all refunds and non-refundable airline-tickets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No</w:t>
            </w: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17 to 20  - exhibit 5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Bidder to state reason for </w:t>
            </w:r>
            <w:r w:rsidR="00511C94">
              <w:rPr>
                <w:rFonts w:eastAsia="Calibri" w:cs="Arial"/>
                <w:sz w:val="22"/>
                <w:szCs w:val="22"/>
              </w:rPr>
              <w:t>non-compliance</w:t>
            </w:r>
          </w:p>
        </w:tc>
      </w:tr>
    </w:tbl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The form must be submitted in File 1 (Technical file), Exhibit 2</w:t>
      </w:r>
    </w:p>
    <w:p w:rsidR="00B03085" w:rsidRDefault="00B03085" w:rsidP="00511C94">
      <w:pPr>
        <w:spacing w:line="360" w:lineRule="auto"/>
        <w:rPr>
          <w:rFonts w:cs="Arial"/>
          <w:sz w:val="22"/>
          <w:szCs w:val="22"/>
        </w:rPr>
      </w:pPr>
    </w:p>
    <w:tbl>
      <w:tblPr>
        <w:tblW w:w="20639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41"/>
        <w:gridCol w:w="7984"/>
        <w:gridCol w:w="1424"/>
        <w:gridCol w:w="1407"/>
        <w:gridCol w:w="1297"/>
        <w:gridCol w:w="1423"/>
        <w:gridCol w:w="6263"/>
      </w:tblGrid>
      <w:tr w:rsidR="00B03085" w:rsidRPr="009851F5" w:rsidTr="00604B4F">
        <w:trPr>
          <w:trHeight w:val="142"/>
          <w:tblHeader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9E422A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 xml:space="preserve">Reference page </w:t>
            </w:r>
            <w:r w:rsidR="00B0308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in Proposal</w:t>
            </w: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:rsidTr="00604B4F">
        <w:trPr>
          <w:trHeight w:val="142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8970D1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045D3B">
              <w:rPr>
                <w:rFonts w:cs="Arial"/>
                <w:b/>
                <w:color w:val="FFFFFF"/>
                <w:sz w:val="22"/>
              </w:rPr>
              <w:t>Company Profile, Resources and Infrastructure/Systems</w:t>
            </w: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6F7ECF">
        <w:trPr>
          <w:trHeight w:val="636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 w:rsidRPr="004077C8">
              <w:rPr>
                <w:rFonts w:cs="Arial"/>
                <w:sz w:val="22"/>
                <w:szCs w:val="22"/>
                <w:lang w:val="en-US"/>
              </w:rPr>
              <w:t>1.1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BC09A9" w:rsidRDefault="008970D1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 w:rsidRPr="00045D3B">
              <w:rPr>
                <w:rFonts w:cs="Arial"/>
                <w:sz w:val="22"/>
                <w:szCs w:val="22"/>
              </w:rPr>
              <w:t>Company profile, organisational structure to render the services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604B4F">
        <w:trPr>
          <w:trHeight w:val="142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1.2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D60FA1" w:rsidRDefault="008970D1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 w:rsidRPr="00045D3B">
              <w:rPr>
                <w:rFonts w:cs="Arial"/>
                <w:sz w:val="22"/>
                <w:szCs w:val="22"/>
              </w:rPr>
              <w:t>Level of expertise of key p</w:t>
            </w:r>
            <w:r>
              <w:rPr>
                <w:rFonts w:cs="Arial"/>
                <w:sz w:val="22"/>
                <w:szCs w:val="22"/>
              </w:rPr>
              <w:t>ersonnel that may be assigned</w:t>
            </w:r>
            <w:r w:rsidRPr="00045D3B">
              <w:rPr>
                <w:rFonts w:cs="Arial"/>
                <w:sz w:val="22"/>
                <w:szCs w:val="22"/>
              </w:rPr>
              <w:t xml:space="preserve"> to SARS, qualifications and competencies relevant to the scope of service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</w:tr>
      <w:tr w:rsidR="00B03085" w:rsidRPr="004077C8" w:rsidTr="00604B4F">
        <w:trPr>
          <w:trHeight w:val="568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1.3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8970D1" w:rsidRPr="00045D3B" w:rsidRDefault="008970D1" w:rsidP="008970D1">
            <w:pPr>
              <w:spacing w:line="360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045D3B">
              <w:rPr>
                <w:rFonts w:cs="Arial"/>
                <w:sz w:val="22"/>
                <w:szCs w:val="22"/>
              </w:rPr>
              <w:t>Full contact details of the key contact person / Account Manager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B03085" w:rsidRDefault="00B03085" w:rsidP="0095291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</w:pPr>
          </w:p>
        </w:tc>
      </w:tr>
      <w:tr w:rsidR="008970D1" w:rsidRPr="004077C8" w:rsidTr="00604B4F">
        <w:trPr>
          <w:trHeight w:val="559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8970D1" w:rsidRDefault="008970D1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1.4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8970D1" w:rsidRPr="00045D3B" w:rsidRDefault="008970D1" w:rsidP="008970D1">
            <w:pPr>
              <w:spacing w:line="360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045D3B">
              <w:rPr>
                <w:rFonts w:cs="Arial"/>
                <w:sz w:val="22"/>
                <w:szCs w:val="22"/>
              </w:rPr>
              <w:t>Company organogram, branch infrastructure (geographic locations) and Disaster recovery plan and certificate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970D1" w:rsidRPr="00B62C57" w:rsidRDefault="008970D1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970D1" w:rsidRDefault="008970D1" w:rsidP="0095291C">
            <w:pPr>
              <w:widowControl w:val="0"/>
              <w:spacing w:line="360" w:lineRule="auto"/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970D1" w:rsidRDefault="008970D1" w:rsidP="0095291C">
            <w:pPr>
              <w:widowControl w:val="0"/>
              <w:spacing w:line="360" w:lineRule="auto"/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970D1" w:rsidRDefault="008970D1" w:rsidP="0095291C">
            <w:pPr>
              <w:widowControl w:val="0"/>
              <w:spacing w:line="360" w:lineRule="auto"/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970D1" w:rsidRDefault="008970D1" w:rsidP="0095291C">
            <w:pPr>
              <w:widowControl w:val="0"/>
              <w:spacing w:line="360" w:lineRule="auto"/>
            </w:pPr>
          </w:p>
        </w:tc>
      </w:tr>
      <w:tr w:rsidR="008970D1" w:rsidRPr="004077C8" w:rsidTr="00604B4F">
        <w:trPr>
          <w:trHeight w:val="559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8970D1" w:rsidRDefault="008970D1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1.5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8970D1" w:rsidRPr="00045D3B" w:rsidRDefault="008970D1" w:rsidP="008970D1">
            <w:pPr>
              <w:spacing w:line="360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045D3B">
              <w:rPr>
                <w:rFonts w:cs="Arial"/>
                <w:sz w:val="22"/>
                <w:szCs w:val="22"/>
              </w:rPr>
              <w:t>Proof of existing systems: CRM system, Web functionality, Contact/call centre functionality, SMS functionality and Business continuity report.</w:t>
            </w: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970D1" w:rsidRPr="00B62C57" w:rsidRDefault="008970D1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970D1" w:rsidRDefault="008970D1" w:rsidP="0095291C">
            <w:pPr>
              <w:widowControl w:val="0"/>
              <w:spacing w:line="360" w:lineRule="auto"/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970D1" w:rsidRDefault="008970D1" w:rsidP="0095291C">
            <w:pPr>
              <w:widowControl w:val="0"/>
              <w:spacing w:line="360" w:lineRule="auto"/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970D1" w:rsidRDefault="008970D1" w:rsidP="0095291C">
            <w:pPr>
              <w:widowControl w:val="0"/>
              <w:spacing w:line="360" w:lineRule="auto"/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970D1" w:rsidRDefault="008970D1" w:rsidP="0095291C">
            <w:pPr>
              <w:widowControl w:val="0"/>
              <w:spacing w:line="360" w:lineRule="auto"/>
            </w:pPr>
          </w:p>
        </w:tc>
      </w:tr>
      <w:tr w:rsidR="00B03085" w:rsidRPr="004077C8" w:rsidTr="00604B4F">
        <w:trPr>
          <w:trHeight w:val="142"/>
        </w:trPr>
        <w:tc>
          <w:tcPr>
            <w:tcW w:w="841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2.</w:t>
            </w:r>
          </w:p>
        </w:tc>
        <w:tc>
          <w:tcPr>
            <w:tcW w:w="7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  <w:t>Capability</w:t>
            </w: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23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63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03085" w:rsidRPr="004077C8" w:rsidTr="00604B4F">
        <w:trPr>
          <w:trHeight w:val="142"/>
        </w:trPr>
        <w:tc>
          <w:tcPr>
            <w:tcW w:w="841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2.1</w:t>
            </w:r>
          </w:p>
        </w:tc>
        <w:tc>
          <w:tcPr>
            <w:tcW w:w="7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70D1" w:rsidRDefault="008970D1" w:rsidP="008970D1">
            <w:pPr>
              <w:widowControl w:val="0"/>
              <w:spacing w:line="36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Provide p</w:t>
            </w:r>
            <w:r w:rsidRPr="00045D3B">
              <w:rPr>
                <w:rFonts w:cs="Arial"/>
                <w:sz w:val="22"/>
              </w:rPr>
              <w:t>roof of experience in providing brokerage services regarding medical aid scheme and prov</w:t>
            </w:r>
            <w:r>
              <w:rPr>
                <w:rFonts w:cs="Arial"/>
                <w:sz w:val="22"/>
              </w:rPr>
              <w:t>en track record over the past (4) four</w:t>
            </w:r>
            <w:r w:rsidRPr="00045D3B">
              <w:rPr>
                <w:rFonts w:cs="Arial"/>
                <w:sz w:val="22"/>
              </w:rPr>
              <w:t xml:space="preserve"> years.</w:t>
            </w:r>
          </w:p>
          <w:p w:rsidR="00B85417" w:rsidRPr="00045D3B" w:rsidRDefault="00B85417" w:rsidP="00B85417">
            <w:pPr>
              <w:widowControl w:val="0"/>
              <w:spacing w:line="360" w:lineRule="auto"/>
              <w:ind w:left="33"/>
              <w:rPr>
                <w:rFonts w:cs="Arial"/>
                <w:sz w:val="22"/>
              </w:rPr>
            </w:pPr>
            <w:r w:rsidRPr="00045D3B">
              <w:rPr>
                <w:rFonts w:cs="Arial"/>
                <w:sz w:val="22"/>
              </w:rPr>
              <w:t xml:space="preserve">The information provided for each client  (a minimum of 3) must </w:t>
            </w:r>
            <w:r>
              <w:rPr>
                <w:rFonts w:cs="Arial"/>
                <w:sz w:val="22"/>
              </w:rPr>
              <w:t xml:space="preserve">     </w:t>
            </w:r>
            <w:r w:rsidRPr="00045D3B">
              <w:rPr>
                <w:rFonts w:cs="Arial"/>
                <w:sz w:val="22"/>
              </w:rPr>
              <w:t>include:</w:t>
            </w:r>
          </w:p>
          <w:p w:rsidR="00B85417" w:rsidRPr="00045D3B" w:rsidRDefault="00B85417" w:rsidP="00B85417">
            <w:pPr>
              <w:widowControl w:val="0"/>
              <w:numPr>
                <w:ilvl w:val="0"/>
                <w:numId w:val="6"/>
              </w:numPr>
              <w:spacing w:line="360" w:lineRule="auto"/>
              <w:contextualSpacing/>
              <w:rPr>
                <w:rFonts w:cs="Arial"/>
                <w:sz w:val="22"/>
              </w:rPr>
            </w:pPr>
            <w:r w:rsidRPr="00045D3B">
              <w:rPr>
                <w:rFonts w:cs="Arial"/>
                <w:sz w:val="22"/>
              </w:rPr>
              <w:t>Company name;</w:t>
            </w:r>
            <w:bookmarkStart w:id="0" w:name="_GoBack"/>
            <w:bookmarkEnd w:id="0"/>
          </w:p>
          <w:p w:rsidR="00B85417" w:rsidRPr="00045D3B" w:rsidRDefault="00B85417" w:rsidP="00B85417">
            <w:pPr>
              <w:widowControl w:val="0"/>
              <w:numPr>
                <w:ilvl w:val="0"/>
                <w:numId w:val="6"/>
              </w:numPr>
              <w:spacing w:line="360" w:lineRule="auto"/>
              <w:contextualSpacing/>
              <w:rPr>
                <w:rFonts w:cs="Arial"/>
                <w:sz w:val="22"/>
              </w:rPr>
            </w:pPr>
            <w:r w:rsidRPr="00045D3B">
              <w:rPr>
                <w:rFonts w:cs="Arial"/>
                <w:sz w:val="22"/>
              </w:rPr>
              <w:lastRenderedPageBreak/>
              <w:t>Address;</w:t>
            </w:r>
          </w:p>
          <w:p w:rsidR="00B85417" w:rsidRPr="00045D3B" w:rsidRDefault="00B85417" w:rsidP="00B85417">
            <w:pPr>
              <w:widowControl w:val="0"/>
              <w:numPr>
                <w:ilvl w:val="0"/>
                <w:numId w:val="6"/>
              </w:numPr>
              <w:spacing w:line="360" w:lineRule="auto"/>
              <w:contextualSpacing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Contact details including contact name, surname &amp; telephone number;</w:t>
            </w:r>
          </w:p>
          <w:p w:rsidR="00B85417" w:rsidRDefault="00B85417" w:rsidP="00B85417">
            <w:pPr>
              <w:widowControl w:val="0"/>
              <w:numPr>
                <w:ilvl w:val="0"/>
                <w:numId w:val="6"/>
              </w:numPr>
              <w:spacing w:line="360" w:lineRule="auto"/>
              <w:contextualSpacing/>
              <w:rPr>
                <w:rFonts w:cs="Arial"/>
                <w:sz w:val="22"/>
              </w:rPr>
            </w:pPr>
            <w:r w:rsidRPr="00045D3B">
              <w:rPr>
                <w:rFonts w:cs="Arial"/>
                <w:sz w:val="22"/>
              </w:rPr>
              <w:t>Duration of contract;</w:t>
            </w:r>
          </w:p>
          <w:p w:rsidR="00B85417" w:rsidRPr="00045D3B" w:rsidRDefault="00B85417" w:rsidP="00B85417">
            <w:pPr>
              <w:widowControl w:val="0"/>
              <w:numPr>
                <w:ilvl w:val="0"/>
                <w:numId w:val="6"/>
              </w:numPr>
              <w:spacing w:line="360" w:lineRule="auto"/>
              <w:contextualSpacing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Staff complement;</w:t>
            </w:r>
          </w:p>
          <w:p w:rsidR="00B85417" w:rsidRPr="00045D3B" w:rsidRDefault="00B85417" w:rsidP="00B85417">
            <w:pPr>
              <w:widowControl w:val="0"/>
              <w:numPr>
                <w:ilvl w:val="0"/>
                <w:numId w:val="6"/>
              </w:numPr>
              <w:spacing w:line="360" w:lineRule="auto"/>
              <w:contextualSpacing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Brief</w:t>
            </w:r>
            <w:r w:rsidRPr="00045D3B">
              <w:rPr>
                <w:rFonts w:cs="Arial"/>
                <w:sz w:val="22"/>
              </w:rPr>
              <w:t xml:space="preserve"> description of </w:t>
            </w:r>
            <w:r>
              <w:rPr>
                <w:rFonts w:cs="Arial"/>
                <w:sz w:val="22"/>
              </w:rPr>
              <w:t xml:space="preserve">all </w:t>
            </w:r>
            <w:r w:rsidRPr="00045D3B">
              <w:rPr>
                <w:rFonts w:cs="Arial"/>
                <w:sz w:val="22"/>
              </w:rPr>
              <w:t>the services</w:t>
            </w:r>
            <w:r>
              <w:rPr>
                <w:rFonts w:cs="Arial"/>
                <w:sz w:val="22"/>
              </w:rPr>
              <w:t xml:space="preserve"> provided with examples and stats </w:t>
            </w:r>
            <w:r w:rsidRPr="00045D3B">
              <w:rPr>
                <w:rFonts w:cs="Arial"/>
                <w:sz w:val="22"/>
              </w:rPr>
              <w:t>; and</w:t>
            </w:r>
          </w:p>
          <w:p w:rsidR="00B85417" w:rsidRPr="00045D3B" w:rsidRDefault="00B85417" w:rsidP="00B85417">
            <w:pPr>
              <w:widowControl w:val="0"/>
              <w:numPr>
                <w:ilvl w:val="0"/>
                <w:numId w:val="6"/>
              </w:numPr>
              <w:spacing w:line="360" w:lineRule="auto"/>
              <w:contextualSpacing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Level of satisfaction ( rate 1-10)</w:t>
            </w:r>
          </w:p>
          <w:p w:rsidR="00B03085" w:rsidRPr="00D60FA1" w:rsidRDefault="00B03085" w:rsidP="008970D1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085" w:rsidRPr="00683D47" w:rsidRDefault="00B03085" w:rsidP="00683D47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B85417" w:rsidRPr="004077C8" w:rsidTr="00604B4F">
        <w:trPr>
          <w:trHeight w:val="142"/>
        </w:trPr>
        <w:tc>
          <w:tcPr>
            <w:tcW w:w="841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417" w:rsidRDefault="00B85417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lastRenderedPageBreak/>
              <w:t>2.2</w:t>
            </w:r>
          </w:p>
        </w:tc>
        <w:tc>
          <w:tcPr>
            <w:tcW w:w="7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417" w:rsidRPr="00045D3B" w:rsidRDefault="00B85417" w:rsidP="00B85417">
            <w:pPr>
              <w:pStyle w:val="Heading2"/>
              <w:keepNext w:val="0"/>
              <w:widowControl w:val="0"/>
              <w:tabs>
                <w:tab w:val="left" w:pos="0"/>
                <w:tab w:val="left" w:pos="567"/>
                <w:tab w:val="left" w:pos="1276"/>
                <w:tab w:val="left" w:pos="1418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b w:val="0"/>
                <w:sz w:val="22"/>
              </w:rPr>
            </w:pPr>
            <w:bookmarkStart w:id="1" w:name="_Toc456702064"/>
            <w:bookmarkStart w:id="2" w:name="_Toc456702646"/>
            <w:bookmarkStart w:id="3" w:name="_Toc458762996"/>
            <w:r w:rsidRPr="00045D3B">
              <w:rPr>
                <w:b w:val="0"/>
                <w:sz w:val="22"/>
              </w:rPr>
              <w:t>Provide the number of accounts retained and lost over the past four (4) years.</w:t>
            </w:r>
            <w:bookmarkEnd w:id="1"/>
            <w:bookmarkEnd w:id="2"/>
            <w:bookmarkEnd w:id="3"/>
          </w:p>
          <w:p w:rsidR="00B85417" w:rsidRDefault="00B85417" w:rsidP="008970D1">
            <w:pPr>
              <w:widowControl w:val="0"/>
              <w:spacing w:line="360" w:lineRule="auto"/>
              <w:rPr>
                <w:rFonts w:cs="Arial"/>
                <w:sz w:val="22"/>
              </w:rPr>
            </w:pP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417" w:rsidRPr="00B62C57" w:rsidRDefault="00B85417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85417" w:rsidRDefault="00B85417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85417" w:rsidRDefault="00B85417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85417" w:rsidRDefault="00B85417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85417" w:rsidRDefault="00B85417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B03085" w:rsidRPr="009851F5" w:rsidTr="00604B4F">
        <w:trPr>
          <w:trHeight w:val="142"/>
        </w:trPr>
        <w:tc>
          <w:tcPr>
            <w:tcW w:w="84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3.</w:t>
            </w:r>
          </w:p>
        </w:tc>
        <w:tc>
          <w:tcPr>
            <w:tcW w:w="798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85417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045D3B">
              <w:rPr>
                <w:rFonts w:cs="Arial"/>
                <w:b/>
                <w:bCs/>
                <w:color w:val="FFFFFF"/>
                <w:sz w:val="22"/>
              </w:rPr>
              <w:t>National Footprint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604B4F">
        <w:trPr>
          <w:trHeight w:val="142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</w:t>
            </w:r>
            <w:r w:rsidRPr="004077C8">
              <w:rPr>
                <w:rFonts w:cs="Arial"/>
                <w:sz w:val="22"/>
                <w:szCs w:val="22"/>
                <w:lang w:val="en-US"/>
              </w:rPr>
              <w:t>.1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85417" w:rsidRPr="00045D3B" w:rsidRDefault="00B85417" w:rsidP="00B85417">
            <w:pPr>
              <w:spacing w:line="360" w:lineRule="auto"/>
              <w:rPr>
                <w:sz w:val="22"/>
                <w:lang w:val="en-GB"/>
              </w:rPr>
            </w:pPr>
            <w:r w:rsidRPr="00DE0427">
              <w:rPr>
                <w:sz w:val="22"/>
                <w:lang w:val="en-GB"/>
              </w:rPr>
              <w:t>Provide evidence of national footprint in nine (9) provinces, rural areas and border posts for the provision of medical aid brokerage services</w:t>
            </w:r>
            <w:r>
              <w:rPr>
                <w:sz w:val="22"/>
                <w:lang w:val="en-GB"/>
              </w:rPr>
              <w:t xml:space="preserve"> and demonstrate the implementation plan on how to manage multiple sites in different regions/ province within required lead time.</w:t>
            </w:r>
          </w:p>
          <w:p w:rsidR="00B03085" w:rsidRPr="00A53412" w:rsidRDefault="00B03085" w:rsidP="00B85417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9851F5" w:rsidTr="00604B4F">
        <w:trPr>
          <w:trHeight w:val="142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4.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85417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lang w:val="en-GB"/>
              </w:rPr>
              <w:t>Value add services</w:t>
            </w: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604B4F">
        <w:trPr>
          <w:trHeight w:val="1437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Pr="004077C8">
              <w:rPr>
                <w:rFonts w:cs="Arial"/>
                <w:sz w:val="22"/>
                <w:szCs w:val="22"/>
              </w:rPr>
              <w:t>.1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85417" w:rsidRDefault="00B85417" w:rsidP="00B85417">
            <w:pPr>
              <w:widowControl w:val="0"/>
              <w:spacing w:line="360" w:lineRule="auto"/>
              <w:contextualSpacing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Provide:</w:t>
            </w:r>
          </w:p>
          <w:p w:rsidR="0083306E" w:rsidRDefault="00B85417" w:rsidP="00B85417">
            <w:pPr>
              <w:widowControl w:val="0"/>
              <w:tabs>
                <w:tab w:val="left" w:pos="851"/>
              </w:tabs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sz w:val="22"/>
                <w:lang w:val="en-GB"/>
              </w:rPr>
              <w:t>A list of all other value added services and indicate if there will be any financial implications for these services.</w:t>
            </w:r>
          </w:p>
          <w:p w:rsidR="0083306E" w:rsidRPr="0083306E" w:rsidRDefault="0083306E" w:rsidP="0083306E">
            <w:pPr>
              <w:rPr>
                <w:sz w:val="22"/>
                <w:szCs w:val="22"/>
              </w:rPr>
            </w:pPr>
          </w:p>
          <w:p w:rsidR="0083306E" w:rsidRPr="0083306E" w:rsidRDefault="0083306E" w:rsidP="0083306E">
            <w:pPr>
              <w:rPr>
                <w:sz w:val="22"/>
                <w:szCs w:val="22"/>
              </w:rPr>
            </w:pPr>
          </w:p>
          <w:p w:rsidR="00B03085" w:rsidRPr="0083306E" w:rsidRDefault="00B03085" w:rsidP="0083306E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604B4F">
        <w:trPr>
          <w:trHeight w:val="142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5.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85417" w:rsidP="0095291C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</w:rPr>
              <w:t>Testimonials</w:t>
            </w: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604B4F">
        <w:trPr>
          <w:trHeight w:val="142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E405F2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5.1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3306E" w:rsidRPr="00CC2F0C" w:rsidRDefault="0083306E" w:rsidP="0083306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cs="Arial"/>
                <w:color w:val="000000"/>
                <w:sz w:val="22"/>
                <w:szCs w:val="24"/>
                <w:lang w:val="en-US"/>
              </w:rPr>
            </w:pPr>
            <w:r w:rsidRPr="00CC2F0C">
              <w:rPr>
                <w:rFonts w:cs="Arial"/>
                <w:color w:val="000000"/>
                <w:sz w:val="22"/>
                <w:szCs w:val="24"/>
                <w:lang w:val="en-US"/>
              </w:rPr>
              <w:t xml:space="preserve">Provide two (2) most recent testimonials </w:t>
            </w:r>
            <w:r>
              <w:rPr>
                <w:rFonts w:cs="Arial"/>
                <w:color w:val="000000"/>
                <w:sz w:val="22"/>
                <w:szCs w:val="24"/>
                <w:lang w:val="en-US"/>
              </w:rPr>
              <w:t xml:space="preserve">from any large clients and staff complement </w:t>
            </w:r>
            <w:r w:rsidRPr="00CC2F0C">
              <w:rPr>
                <w:rFonts w:cs="Arial"/>
                <w:color w:val="000000"/>
                <w:sz w:val="22"/>
                <w:szCs w:val="24"/>
                <w:lang w:val="en-US"/>
              </w:rPr>
              <w:t>where similar services were provided. The testimonials must include but not be limited to:</w:t>
            </w:r>
          </w:p>
          <w:p w:rsidR="0083306E" w:rsidRPr="00CC2F0C" w:rsidRDefault="0083306E" w:rsidP="0083306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cs="Arial"/>
                <w:color w:val="000000"/>
                <w:sz w:val="22"/>
                <w:szCs w:val="24"/>
                <w:lang w:val="en-US"/>
              </w:rPr>
            </w:pPr>
            <w:r w:rsidRPr="00CC2F0C">
              <w:rPr>
                <w:rFonts w:cs="Arial"/>
                <w:color w:val="000000"/>
                <w:sz w:val="22"/>
                <w:szCs w:val="24"/>
                <w:lang w:val="en-US"/>
              </w:rPr>
              <w:t>Brief description of services rendered;</w:t>
            </w:r>
          </w:p>
          <w:p w:rsidR="0083306E" w:rsidRDefault="0083306E" w:rsidP="0083306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cs="Arial"/>
                <w:color w:val="000000"/>
                <w:sz w:val="22"/>
                <w:szCs w:val="24"/>
                <w:lang w:val="en-US"/>
              </w:rPr>
            </w:pPr>
            <w:r w:rsidRPr="00CC2F0C">
              <w:rPr>
                <w:rFonts w:cs="Arial"/>
                <w:color w:val="000000"/>
                <w:sz w:val="22"/>
                <w:szCs w:val="24"/>
                <w:lang w:val="en-US"/>
              </w:rPr>
              <w:t>Quality of service;</w:t>
            </w:r>
          </w:p>
          <w:p w:rsidR="0083306E" w:rsidRPr="00CC2F0C" w:rsidRDefault="0083306E" w:rsidP="0083306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cs="Arial"/>
                <w:color w:val="000000"/>
                <w:sz w:val="22"/>
                <w:szCs w:val="24"/>
                <w:lang w:val="en-US"/>
              </w:rPr>
            </w:pPr>
            <w:r>
              <w:rPr>
                <w:rFonts w:cs="Arial"/>
                <w:color w:val="000000"/>
                <w:sz w:val="22"/>
                <w:szCs w:val="24"/>
                <w:lang w:val="en-US"/>
              </w:rPr>
              <w:t>Company address and contact person; and</w:t>
            </w:r>
          </w:p>
          <w:p w:rsidR="00B03085" w:rsidRPr="00B93895" w:rsidRDefault="0083306E" w:rsidP="0083306E">
            <w:pPr>
              <w:widowControl w:val="0"/>
              <w:spacing w:line="360" w:lineRule="auto"/>
              <w:ind w:left="756"/>
              <w:rPr>
                <w:rFonts w:cs="Arial"/>
                <w:sz w:val="22"/>
                <w:szCs w:val="22"/>
              </w:rPr>
            </w:pPr>
            <w:r w:rsidRPr="00CC2F0C">
              <w:rPr>
                <w:rFonts w:cs="Arial"/>
                <w:color w:val="000000"/>
                <w:sz w:val="22"/>
                <w:szCs w:val="24"/>
                <w:lang w:val="en-US"/>
              </w:rPr>
              <w:t>Performance</w:t>
            </w:r>
            <w:r>
              <w:rPr>
                <w:rFonts w:cs="Arial"/>
                <w:color w:val="000000"/>
                <w:sz w:val="22"/>
                <w:szCs w:val="24"/>
                <w:lang w:val="en-US"/>
              </w:rPr>
              <w:t>.</w:t>
            </w: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83306E" w:rsidRPr="004077C8" w:rsidTr="00604B4F">
        <w:trPr>
          <w:trHeight w:val="142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83306E" w:rsidRPr="009851F5" w:rsidRDefault="0083306E" w:rsidP="00B42FDA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83306E" w:rsidRPr="0083306E" w:rsidRDefault="0083306E" w:rsidP="00B42FDA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cs="Arial"/>
                <w:b/>
                <w:color w:val="FFFFFF"/>
                <w:sz w:val="22"/>
                <w:szCs w:val="22"/>
                <w:lang w:val="en-ZA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ZA"/>
              </w:rPr>
              <w:t>Insurance</w:t>
            </w: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83306E" w:rsidRPr="0083306E" w:rsidRDefault="0083306E" w:rsidP="00B42FDA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83306E" w:rsidRPr="0083306E" w:rsidRDefault="0083306E" w:rsidP="00B42FDA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83306E" w:rsidRPr="0083306E" w:rsidRDefault="0083306E" w:rsidP="00B42FDA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83306E" w:rsidRPr="0083306E" w:rsidRDefault="0083306E" w:rsidP="00B42FDA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83306E" w:rsidRPr="0083306E" w:rsidRDefault="0083306E" w:rsidP="00B42FDA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</w:p>
        </w:tc>
      </w:tr>
      <w:tr w:rsidR="0083306E" w:rsidRPr="004077C8" w:rsidTr="00604B4F">
        <w:trPr>
          <w:trHeight w:val="758"/>
        </w:trPr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3306E" w:rsidRDefault="0083306E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6.1</w:t>
            </w:r>
          </w:p>
        </w:tc>
        <w:tc>
          <w:tcPr>
            <w:tcW w:w="7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3306E" w:rsidRPr="00045D3B" w:rsidRDefault="0083306E" w:rsidP="0083306E">
            <w:pPr>
              <w:widowControl w:val="0"/>
              <w:spacing w:line="360" w:lineRule="auto"/>
              <w:rPr>
                <w:rFonts w:cs="Arial"/>
                <w:bCs/>
                <w:color w:val="000000"/>
                <w:sz w:val="22"/>
              </w:rPr>
            </w:pPr>
            <w:r w:rsidRPr="00045D3B">
              <w:rPr>
                <w:rFonts w:cs="Arial"/>
                <w:bCs/>
                <w:color w:val="000000"/>
                <w:sz w:val="22"/>
              </w:rPr>
              <w:t>Provide:</w:t>
            </w:r>
          </w:p>
          <w:p w:rsidR="0083306E" w:rsidRPr="00CC2F0C" w:rsidRDefault="0083306E" w:rsidP="0083306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cs="Arial"/>
                <w:color w:val="000000"/>
                <w:sz w:val="22"/>
                <w:szCs w:val="24"/>
                <w:lang w:val="en-US"/>
              </w:rPr>
            </w:pPr>
            <w:r w:rsidRPr="00045D3B">
              <w:rPr>
                <w:rFonts w:cs="Arial"/>
                <w:bCs/>
                <w:color w:val="000000"/>
                <w:sz w:val="22"/>
              </w:rPr>
              <w:t>Proof of Professional Indemnity Insurance</w:t>
            </w:r>
            <w:r>
              <w:rPr>
                <w:rFonts w:cs="Arial"/>
                <w:bCs/>
                <w:color w:val="000000"/>
                <w:sz w:val="22"/>
              </w:rPr>
              <w:t>.</w:t>
            </w:r>
          </w:p>
        </w:tc>
        <w:tc>
          <w:tcPr>
            <w:tcW w:w="1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3306E" w:rsidRPr="004077C8" w:rsidRDefault="0083306E" w:rsidP="0095291C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3306E" w:rsidRPr="00BC09A9" w:rsidRDefault="0083306E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3306E" w:rsidRPr="00BC09A9" w:rsidRDefault="0083306E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3306E" w:rsidRPr="00BC09A9" w:rsidRDefault="0083306E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3306E" w:rsidRPr="00BC09A9" w:rsidRDefault="0083306E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</w:tbl>
    <w:p w:rsidR="00B03085" w:rsidRDefault="00B03085" w:rsidP="00604B4F">
      <w:pPr>
        <w:spacing w:line="360" w:lineRule="auto"/>
        <w:rPr>
          <w:rFonts w:cs="Arial"/>
          <w:sz w:val="22"/>
          <w:szCs w:val="22"/>
        </w:rPr>
      </w:pPr>
    </w:p>
    <w:sectPr w:rsidR="00B03085" w:rsidSect="00B03085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4067"/>
    <w:multiLevelType w:val="hybridMultilevel"/>
    <w:tmpl w:val="1AFA6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2">
    <w:nsid w:val="252069DD"/>
    <w:multiLevelType w:val="hybridMultilevel"/>
    <w:tmpl w:val="25F2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7CB0A95"/>
    <w:multiLevelType w:val="multilevel"/>
    <w:tmpl w:val="E2F8E29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6E7299E"/>
    <w:multiLevelType w:val="hybridMultilevel"/>
    <w:tmpl w:val="9B827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59"/>
    <w:rsid w:val="0002672C"/>
    <w:rsid w:val="001803BC"/>
    <w:rsid w:val="001F3C3A"/>
    <w:rsid w:val="003226B5"/>
    <w:rsid w:val="003A6961"/>
    <w:rsid w:val="004C7370"/>
    <w:rsid w:val="00511C94"/>
    <w:rsid w:val="00604B4F"/>
    <w:rsid w:val="00683D47"/>
    <w:rsid w:val="006F7ECF"/>
    <w:rsid w:val="007031A7"/>
    <w:rsid w:val="0083306E"/>
    <w:rsid w:val="008344C2"/>
    <w:rsid w:val="008970D1"/>
    <w:rsid w:val="008C296D"/>
    <w:rsid w:val="00967059"/>
    <w:rsid w:val="009E422A"/>
    <w:rsid w:val="00A93A2D"/>
    <w:rsid w:val="00B03085"/>
    <w:rsid w:val="00B82CAF"/>
    <w:rsid w:val="00B85417"/>
    <w:rsid w:val="00CB3D5F"/>
    <w:rsid w:val="00D473BA"/>
    <w:rsid w:val="00D502C3"/>
    <w:rsid w:val="00EE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85417"/>
    <w:pPr>
      <w:keepNext/>
      <w:outlineLvl w:val="1"/>
    </w:pPr>
    <w:rPr>
      <w:rFonts w:cs="Arial"/>
      <w:b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85417"/>
    <w:rPr>
      <w:rFonts w:ascii="Arial" w:eastAsia="Times New Roman" w:hAnsi="Arial" w:cs="Arial"/>
      <w:b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85417"/>
    <w:pPr>
      <w:keepNext/>
      <w:outlineLvl w:val="1"/>
    </w:pPr>
    <w:rPr>
      <w:rFonts w:cs="Arial"/>
      <w:b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85417"/>
    <w:rPr>
      <w:rFonts w:ascii="Arial" w:eastAsia="Times New Roman" w:hAnsi="Arial" w:cs="Arial"/>
      <w:b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7975A-1BFB-4CD0-920D-732894B4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Pfarelo Netshiongolwe</cp:lastModifiedBy>
  <cp:revision>10</cp:revision>
  <dcterms:created xsi:type="dcterms:W3CDTF">2016-08-12T09:42:00Z</dcterms:created>
  <dcterms:modified xsi:type="dcterms:W3CDTF">2016-09-01T14:32:00Z</dcterms:modified>
</cp:coreProperties>
</file>