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4CB7" w14:textId="4CD7780E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</w:pPr>
      <w:proofErr w:type="spellStart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eFiling-betalings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 xml:space="preserve"> (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kredietstoot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)</w:t>
      </w:r>
    </w:p>
    <w:p w14:paraId="10BEFD33" w14:textId="60A41B8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eFiling-kredietstoot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is 'n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veilige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betalinginstruksiefunksionaliteit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tussen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SARS</w:t>
      </w:r>
      <w:r w:rsidR="005C1EA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en die bank, wat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kliënt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in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beheer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betaling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stel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. Verwys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ook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4D3877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hoe die </w:t>
      </w:r>
      <w:proofErr w:type="spellStart"/>
      <w:r w:rsidRPr="004D3877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eFiling-betalingverwysing</w:t>
      </w:r>
      <w:proofErr w:type="spellEnd"/>
      <w:r w:rsidRPr="004D3877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4D3877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werk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5" w:history="1"/>
    </w:p>
    <w:p w14:paraId="0A04407C" w14:textId="29BF6F34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Top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wenk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: </w:t>
      </w:r>
      <w:proofErr w:type="spellStart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Doeane</w:t>
      </w:r>
      <w:proofErr w:type="spellEnd"/>
      <w:r w:rsidR="005C1EA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Aksyns</w:t>
      </w:r>
      <w:r w:rsidR="005C1EA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kliënte</w:t>
      </w:r>
      <w:proofErr w:type="spellEnd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kan</w:t>
      </w:r>
      <w:proofErr w:type="spellEnd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slegs vanaf die ingediende verklaring/opgawe of e-Rekening op eFiling </w:t>
      </w:r>
      <w:proofErr w:type="spellStart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betaal</w:t>
      </w:r>
      <w:proofErr w:type="spellEnd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- </w:t>
      </w:r>
      <w:r w:rsidRPr="004D3877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lees </w:t>
      </w:r>
      <w:proofErr w:type="spellStart"/>
      <w:r w:rsidRPr="004D3877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meer</w:t>
      </w:r>
      <w:proofErr w:type="spellEnd"/>
      <w:r w:rsidRPr="00737204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6" w:history="1"/>
    </w:p>
    <w:p w14:paraId="602A8CF1" w14:textId="77777777" w:rsidR="00270587" w:rsidRPr="00270587" w:rsidRDefault="00270587" w:rsidP="002705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Hoe stel ek 'n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kredietstootbetaling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op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op?</w:t>
      </w:r>
    </w:p>
    <w:p w14:paraId="5B6DE6B8" w14:textId="3780D092" w:rsidR="00270587" w:rsidRPr="00270587" w:rsidRDefault="00270587" w:rsidP="004D3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Met 'n eFiling-betaling, kan die betaling deur enige eFiler, bv. die belastingpligtige, belastingpraktisyn of verteenwoordiger, geïnisieer word, maar sodanige betaling moet deur die bankrekeninghouer goedgekeur word. Wanneer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jy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SARS </w:t>
      </w:r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‘n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betaling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maak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SARS 'n betalingversoek aan jou bank stuur wat die bedrag aandui en 'n betalingverwysingsnommer verskaf. Die bankrekeninghouer moet dan op sy/haar bankproduk inteken en sodanige versoek goedkeur - dit dien as instruksie aan die bank om die betaling aan SARS te maak.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eFiling-betalings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onherroeplik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teruggetrek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word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 xml:space="preserve">Om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bankbesonderhede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eenmalig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eFiling-betaling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op te stel, volg hierdie maklike stappe.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Die stappe om bankbesonderhede vir 'n eenmalige eFiling-betaling op te stel, is as volg: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 xml:space="preserve">Voordat jy die eFiling-betalingfunksionaliteit kan gebruik, moet jy seker maak dat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jou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bank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kredietstoottransaksies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ondersteun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223913A3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Top wenk: </w:t>
      </w:r>
      <w:r w:rsidRPr="004D387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Maak met jou bank kontak oor toegang tot 'n rekening wat die kredietstootfunksionaliteit ondersteun.</w:t>
      </w:r>
    </w:p>
    <w:p w14:paraId="02B3122F" w14:textId="7AF7729C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Vir individue,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klik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op 'Home' </w:t>
      </w:r>
      <w:proofErr w:type="spellStart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bo-aan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op </w:t>
      </w:r>
      <w:proofErr w:type="gram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die</w:t>
      </w:r>
      <w:proofErr w:type="gram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navigasiebalk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2ACD50DE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60D5373A" wp14:editId="6EB489E1">
            <wp:extent cx="6067425" cy="762000"/>
            <wp:effectExtent l="0" t="0" r="9525" b="0"/>
            <wp:docPr id="1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2C8B" w14:textId="2C17FBF3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Klik dan op 'User' </w:t>
      </w:r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links 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op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navigasiebalk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en dan op 'Banking Details':</w:t>
      </w:r>
    </w:p>
    <w:p w14:paraId="324D9D73" w14:textId="405FE18F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lastRenderedPageBreak/>
        <w:drawing>
          <wp:inline distT="0" distB="0" distL="0" distR="0" wp14:anchorId="1F1A6677" wp14:editId="52D9A218">
            <wp:extent cx="2305050" cy="1628775"/>
            <wp:effectExtent l="0" t="0" r="0" b="9525"/>
            <wp:docPr id="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 xml:space="preserve">Vir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organisasies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belastingpraktisyne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klik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op 'Organisations' bo-aan op </w:t>
      </w:r>
      <w:proofErr w:type="gram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die</w:t>
      </w:r>
      <w:proofErr w:type="gram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navigasiebalk:</w:t>
      </w:r>
    </w:p>
    <w:p w14:paraId="669E0D28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22C5BC6" wp14:editId="0ABF42BD">
            <wp:extent cx="6462439" cy="468557"/>
            <wp:effectExtent l="0" t="0" r="0" b="8255"/>
            <wp:docPr id="1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579" cy="4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A334" w14:textId="7843DBB3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Klik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dan op 'Organisa</w:t>
      </w:r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ti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on' op </w:t>
      </w:r>
      <w:proofErr w:type="gram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die</w:t>
      </w:r>
      <w:proofErr w:type="gram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navigasiebalk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aan linkerkant en dan op 'Banking Details':</w:t>
      </w:r>
    </w:p>
    <w:p w14:paraId="3460DC68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1AA933F6" wp14:editId="0D66B482">
            <wp:extent cx="1771650" cy="2268017"/>
            <wp:effectExtent l="0" t="0" r="0" b="0"/>
            <wp:docPr id="1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9" cy="22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4572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Indien jy 'n nuwe rekening moet skep, klik op 'Setup New Account': </w:t>
      </w:r>
    </w:p>
    <w:p w14:paraId="7018DAB6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3FAC7885" wp14:editId="56984DB9">
            <wp:extent cx="1762125" cy="590550"/>
            <wp:effectExtent l="0" t="0" r="9525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7015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Alternatiewelik, kan jy die stappe hieronder volg om bankbesonderhede op te stel.</w:t>
      </w:r>
    </w:p>
    <w:p w14:paraId="745798B0" w14:textId="24B71539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Klik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Returns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', dan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Payments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' op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navigasiebalk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linkerkant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'Bank Details Setup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' om jou bankbesonderhede op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op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stel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5F898794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Die opsiebalke sal verskil tussen die individue-, organisasies- en belastingpraktisynprofiele. Hieronder is 'n voorbeeld van die individuele en organisasie se profiel-opsiebalk.</w:t>
      </w:r>
    </w:p>
    <w:p w14:paraId="3A232B7B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lastRenderedPageBreak/>
        <w:drawing>
          <wp:inline distT="0" distB="0" distL="0" distR="0" wp14:anchorId="2BEA9005" wp14:editId="10BE3B53">
            <wp:extent cx="5095875" cy="561620"/>
            <wp:effectExtent l="0" t="0" r="0" b="0"/>
            <wp:docPr id="2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62" cy="5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EB0B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7E94A81" wp14:editId="10D70B2A">
            <wp:extent cx="6456250" cy="390377"/>
            <wp:effectExtent l="0" t="0" r="0" b="0"/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671" cy="41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EB46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5FF60F0D" wp14:editId="32138298">
            <wp:extent cx="1873822" cy="2066925"/>
            <wp:effectExtent l="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40" cy="207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B405" w14:textId="7A8BFC90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'Banking Information'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-skerm sal vertoon.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kredietstootopsie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outomaties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aangestip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wees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4ED0A9D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550C3D9A" wp14:editId="34C14541">
            <wp:extent cx="4886009" cy="3135696"/>
            <wp:effectExtent l="0" t="0" r="0" b="7620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19" cy="314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3154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Indien jy die 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'Banking Product'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-veld kies, sal 'n lys van banke vertoon word. Kies die toepaslike bank.</w:t>
      </w:r>
    </w:p>
    <w:p w14:paraId="291A4CF1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lastRenderedPageBreak/>
        <w:drawing>
          <wp:inline distT="0" distB="0" distL="0" distR="0" wp14:anchorId="22244B00" wp14:editId="63119CD8">
            <wp:extent cx="4191000" cy="3324112"/>
            <wp:effectExtent l="0" t="0" r="0" b="0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957" cy="33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82D4" w14:textId="29BB627E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Nadat jy die bank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gekies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het, </w:t>
      </w:r>
      <w:proofErr w:type="spellStart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rekeningnommerveld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vertoon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 Voltooi hierdie veld en kies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Save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 om voort te gaan, of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 om veranderinge aan die bankinligting te maak.</w:t>
      </w:r>
    </w:p>
    <w:p w14:paraId="21D5F195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62202D7D" wp14:editId="79C74BF6">
            <wp:extent cx="4618701" cy="3409950"/>
            <wp:effectExtent l="0" t="0" r="0" b="0"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39" cy="342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B0A1" w14:textId="14BE462E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Nadat jy die bankbesonderhede gestoor het, sal die besonderhede op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gestoor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word</w:t>
      </w:r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,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soos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hieronder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aangedui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0101DF9E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lastRenderedPageBreak/>
        <w:drawing>
          <wp:inline distT="0" distB="0" distL="0" distR="0" wp14:anchorId="06DECB45" wp14:editId="41A82403">
            <wp:extent cx="6289548" cy="799519"/>
            <wp:effectExtent l="0" t="0" r="0" b="635"/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324" cy="8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5CAE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Indien jy op die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Open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'-skakel klik, sal die bankinligtingblad vertoon.</w:t>
      </w:r>
    </w:p>
    <w:p w14:paraId="69AC6676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31D481AC" wp14:editId="15159832">
            <wp:extent cx="4743450" cy="3595522"/>
            <wp:effectExtent l="0" t="0" r="0" b="5080"/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30" cy="360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ADB6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Om die bankbesonderhede te verwyder, klik die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Delete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'-knoppie. Klik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 om die uitwissing van die bankbesonderhede te bevestig, of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Cancel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 om die boodskap toe te maak.</w:t>
      </w:r>
    </w:p>
    <w:p w14:paraId="5A8BE7B9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74204008" wp14:editId="144563FA">
            <wp:extent cx="5153025" cy="923925"/>
            <wp:effectExtent l="0" t="0" r="9525" b="9525"/>
            <wp:docPr id="2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7E6C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Nadat jy die uitwissing van die bankbesonderhede bevestig het, sal geen bankbesonderhede op die bankbesonderhedeblad op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vertoon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390FC363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4519250B" wp14:editId="5D4AFC98">
            <wp:extent cx="6209288" cy="733425"/>
            <wp:effectExtent l="0" t="0" r="1270" b="0"/>
            <wp:docPr id="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89" cy="75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71C0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Top wenke: </w:t>
      </w:r>
      <w:r w:rsidRPr="004D387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'n Kredietstoot hoef slegs een keer opgestel te word.</w:t>
      </w:r>
    </w:p>
    <w:p w14:paraId="7A63A2D8" w14:textId="77777777" w:rsidR="00270587" w:rsidRPr="00270587" w:rsidRDefault="00270587" w:rsidP="004D3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lastRenderedPageBreak/>
        <w:t>Sodra die betaling op eFiling geprosesseer is, moet jy op jou bankproduk inteken en die transaksie goedkeur.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</w:p>
    <w:p w14:paraId="5B6B3F57" w14:textId="77777777" w:rsidR="00270587" w:rsidRPr="00270587" w:rsidRDefault="00270587" w:rsidP="00270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VERIFIËRING VAN BANKBESONDERHEDE met die opstel van 'n </w:t>
      </w:r>
      <w:proofErr w:type="gram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kredietstootbetaling</w:t>
      </w:r>
      <w:proofErr w:type="gramEnd"/>
    </w:p>
    <w:p w14:paraId="3C69C4A6" w14:textId="77777777" w:rsidR="00270587" w:rsidRPr="00270587" w:rsidRDefault="00270587" w:rsidP="002705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Wanneer 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Investec, Citi Bank, SASFIN en Albaraka Bank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kliënte hulle bankbesonderhede vir eFiling-betalings opstel, word die bankbesonderhede deur die bank geverifieer om seker te maak dat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entiteit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korrek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is.</w:t>
      </w:r>
    </w:p>
    <w:p w14:paraId="40A9D831" w14:textId="63D754C2" w:rsidR="00270587" w:rsidRPr="00270587" w:rsidRDefault="00270587" w:rsidP="002705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Hieronder is die kliënt se besonderhede wat teen bankbesonderhede tydens die kredietstootbetalingsproses, vir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bogenoemde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banke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geverifieer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word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</w:p>
    <w:p w14:paraId="4ED79901" w14:textId="77777777" w:rsidR="00270587" w:rsidRPr="00270587" w:rsidRDefault="00270587" w:rsidP="002705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Bankbesonderhede</w:t>
      </w:r>
    </w:p>
    <w:p w14:paraId="4015A6F6" w14:textId="77777777" w:rsidR="00270587" w:rsidRPr="00270587" w:rsidRDefault="00270587" w:rsidP="0027058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Entiteit sal individue se ID-nommer wees.</w:t>
      </w:r>
    </w:p>
    <w:p w14:paraId="3DCF29CF" w14:textId="3104E9D4" w:rsidR="005F7083" w:rsidRDefault="00270587" w:rsidP="005F708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Maatskappyregistrasienommer (indien dit 'n organisasie is) en trustnommer indien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dit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'n trust is.</w:t>
      </w:r>
    </w:p>
    <w:p w14:paraId="0B1098C1" w14:textId="77777777" w:rsidR="005F7083" w:rsidRPr="005F7083" w:rsidRDefault="005F7083" w:rsidP="005F7083">
      <w:p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Arial" w:eastAsia="Times New Roman" w:hAnsi="Arial" w:cs="Arial"/>
          <w:color w:val="333333"/>
          <w:kern w:val="0"/>
          <w:sz w:val="2"/>
          <w:szCs w:val="2"/>
          <w:lang w:eastAsia="en-ZA"/>
          <w14:ligatures w14:val="none"/>
        </w:rPr>
      </w:pPr>
    </w:p>
    <w:p w14:paraId="02EA1ECB" w14:textId="77777777" w:rsidR="00270587" w:rsidRPr="00270587" w:rsidRDefault="00270587" w:rsidP="002705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Sodra die bankbesonderhede vir die kredietstootbetalingsproses vasgelê is, klik op die '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save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'-knoppie. In gevalle waar die kliënt se 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eFiling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profielbesonderhede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dieselfde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as die </w:t>
      </w:r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se besonderhede is, sal die vasgelegde </w:t>
      </w:r>
      <w:proofErr w:type="spellStart"/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bankbesonderhede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verifiëringproses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4D387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deurkom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AAC05AB" w14:textId="6690D52E" w:rsidR="00270587" w:rsidRPr="00270587" w:rsidRDefault="00270587" w:rsidP="002705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Indien die 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entiteitregistrasienommer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soos die 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ID-/BK-/trustnommer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op die eFiling-profiel </w:t>
      </w:r>
      <w:proofErr w:type="spellStart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met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bank s'n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strook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="005F708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boodskap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“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Account verification request not successful – The entity registration number does not match the identification registered for this account/profile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” vertoon wat aandui dat die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verifiëring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gefaal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het.</w:t>
      </w:r>
    </w:p>
    <w:p w14:paraId="64626C9A" w14:textId="77777777" w:rsidR="00270587" w:rsidRPr="00270587" w:rsidRDefault="00270587" w:rsidP="002705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Die kliënt se geregistreerde eFiling-besonderhede 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strook nie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met die bank s'n nie; of, indien daar 'n 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finansiële blok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op die bankrekening is sal die “</w:t>
      </w:r>
      <w:r w:rsidRPr="00E520F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Account verification request not successful, there is a hold /profile that does not allow this transaction to be processed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”-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boodskap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vertoon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2EED4DFA" w14:textId="77777777" w:rsidR="00270587" w:rsidRPr="00270587" w:rsidRDefault="00270587" w:rsidP="002705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Kliënte word aangeraai om hul bankrekening se registrasiebesonderhede met hulle eFiling-profiel se registrasiebesonderhede te vergelyk en die nodige bywerkings aan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bring,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indien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nodig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16726F69" w14:textId="77777777" w:rsidR="00713064" w:rsidRDefault="00713064" w:rsidP="00270587">
      <w:pPr>
        <w:jc w:val="both"/>
      </w:pPr>
    </w:p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45"/>
    <w:multiLevelType w:val="multilevel"/>
    <w:tmpl w:val="257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7"/>
    <w:rsid w:val="00270587"/>
    <w:rsid w:val="002D76B8"/>
    <w:rsid w:val="004D3877"/>
    <w:rsid w:val="005C1EA0"/>
    <w:rsid w:val="005F7083"/>
    <w:rsid w:val="006D50E8"/>
    <w:rsid w:val="00713064"/>
    <w:rsid w:val="00737204"/>
    <w:rsid w:val="0079216F"/>
    <w:rsid w:val="00E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524D"/>
  <w15:chartTrackingRefBased/>
  <w15:docId w15:val="{3589E6ED-41AF-4E80-8F2C-89C37D1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179">
                  <w:marLeft w:val="0"/>
                  <w:marRight w:val="0"/>
                  <w:marTop w:val="0"/>
                  <w:marBottom w:val="0"/>
                  <w:divBdr>
                    <w:top w:val="single" w:sz="6" w:space="0" w:color="D5D8DC"/>
                    <w:left w:val="single" w:sz="6" w:space="0" w:color="D5D8DC"/>
                    <w:bottom w:val="single" w:sz="6" w:space="0" w:color="D5D8DC"/>
                    <w:right w:val="single" w:sz="6" w:space="0" w:color="D5D8DC"/>
                  </w:divBdr>
                  <w:divsChild>
                    <w:div w:id="11911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49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5D8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sars.gov.za/customs-and-excise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sars.gov.za/how-does-the-efiling-payment-reference-work-aug-2021/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Aletia Ollewagen</cp:lastModifiedBy>
  <cp:revision>2</cp:revision>
  <dcterms:created xsi:type="dcterms:W3CDTF">2023-10-12T08:28:00Z</dcterms:created>
  <dcterms:modified xsi:type="dcterms:W3CDTF">2023-10-12T08:28:00Z</dcterms:modified>
</cp:coreProperties>
</file>