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14CB7" w14:textId="4CD7780E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</w:pPr>
      <w:proofErr w:type="spellStart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Ukukhokha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-eFiling (</w:t>
      </w:r>
      <w:r w:rsidRPr="00351A30">
        <w:rPr>
          <w:rFonts w:ascii="Arial" w:eastAsia="Times New Roman" w:hAnsi="Arial" w:cs="Arial"/>
          <w:i/>
          <w:iCs/>
          <w:color w:val="333333"/>
          <w:kern w:val="0"/>
          <w:sz w:val="32"/>
          <w:szCs w:val="32"/>
          <w:lang w:eastAsia="en-ZA"/>
          <w14:ligatures w14:val="none"/>
        </w:rPr>
        <w:t>credit push</w:t>
      </w:r>
      <w:r w:rsidRPr="00270587">
        <w:rPr>
          <w:rFonts w:ascii="Arial" w:eastAsia="Times New Roman" w:hAnsi="Arial" w:cs="Arial"/>
          <w:color w:val="333333"/>
          <w:kern w:val="0"/>
          <w:sz w:val="32"/>
          <w:szCs w:val="32"/>
          <w:lang w:eastAsia="en-ZA"/>
          <w14:ligatures w14:val="none"/>
        </w:rPr>
        <w:t>)</w:t>
      </w:r>
    </w:p>
    <w:p w14:paraId="10BEFD33" w14:textId="10885861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I-</w:t>
      </w:r>
      <w:r w:rsidR="00A53C11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eFiling </w:t>
      </w:r>
      <w:r w:rsidRPr="00A53C11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credit push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umyalelo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wokukhokha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ovikelekile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phakathi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kukaSARS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eFiling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kanye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onika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ikhasimende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amandla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okulawula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likhokha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. Phinda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ubheke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isebenza</w:t>
      </w:r>
      <w:proofErr w:type="spellEnd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kanjani</w:t>
      </w:r>
      <w:proofErr w:type="spellEnd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indlela</w:t>
      </w:r>
      <w:proofErr w:type="spellEnd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yokukhokha</w:t>
      </w:r>
      <w:proofErr w:type="spellEnd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ku</w:t>
      </w:r>
      <w:proofErr w:type="spellEnd"/>
      <w:r w:rsidRPr="00A53C11">
        <w:rPr>
          <w:rFonts w:ascii="Arial" w:eastAsia="Times New Roman" w:hAnsi="Arial" w:cs="Arial"/>
          <w:color w:val="2F5496" w:themeColor="accent1" w:themeShade="BF"/>
          <w:kern w:val="0"/>
          <w:sz w:val="24"/>
          <w:szCs w:val="24"/>
          <w:u w:val="single"/>
          <w:lang w:eastAsia="en-ZA"/>
          <w14:ligatures w14:val="none"/>
        </w:rPr>
        <w:t>-eFiling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5" w:history="1"/>
    </w:p>
    <w:p w14:paraId="0A04407C" w14:textId="77777777" w:rsidR="00270587" w:rsidRPr="00351A30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Isungqangi: </w:t>
      </w:r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Amakhasimende okuLawulwa Kwempahla Emngceleni neNtela yempahla angakwazi ukukhokha kuphela efomini </w:t>
      </w:r>
      <w:proofErr w:type="spellStart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lokudalula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lokubuyisa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intela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i-eAccount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-eFiling, </w:t>
      </w:r>
      <w:r w:rsidRPr="00A53C11">
        <w:rPr>
          <w:rFonts w:ascii="Arial" w:eastAsia="Times New Roman" w:hAnsi="Arial" w:cs="Arial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 xml:space="preserve">funda </w:t>
      </w:r>
      <w:proofErr w:type="spellStart"/>
      <w:r w:rsidRPr="00A53C11">
        <w:rPr>
          <w:rFonts w:ascii="Arial" w:eastAsia="Times New Roman" w:hAnsi="Arial" w:cs="Arial"/>
          <w:color w:val="4472C4" w:themeColor="accent1"/>
          <w:kern w:val="0"/>
          <w:sz w:val="24"/>
          <w:szCs w:val="24"/>
          <w:u w:val="single"/>
          <w:lang w:eastAsia="en-ZA"/>
          <w14:ligatures w14:val="none"/>
        </w:rPr>
        <w:t>kabanzi</w:t>
      </w:r>
      <w:proofErr w:type="spellEnd"/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6" w:history="1"/>
    </w:p>
    <w:p w14:paraId="602A8CF1" w14:textId="77777777" w:rsidR="00270587" w:rsidRPr="00270587" w:rsidRDefault="00270587" w:rsidP="00F66959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Ngenza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kanjani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ukuze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ngikwazi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ukukhokha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ngohlelo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lwe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-Credit Push </w:t>
      </w:r>
      <w:proofErr w:type="spellStart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-eFiling?</w:t>
      </w:r>
    </w:p>
    <w:p w14:paraId="5B6DE6B8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Ngokukhokha nge-eFiling, ungakhokha wena njengomuntu obhalise ku-eFiling, isib. umkhokhintela, isisebenzi sentela, ommelele, kodwa lokhu kukhokha kumele kugunyazwe umnikazi we-akhawunti yasebhange. Uma ukhokha kwaSARS, i-eFiling izothumela isicelo sokukhokha ebhange lakho esizobe siveza inani okumele likhokhwe okudinga ukuba ligunyazwe bese kukhishwa inombolonkomba yokukhokha. Umnikazi we-akhawunti yasebhange kumele ebe esefaka umkhiqizo wakhe wasebhange bese ugunyaza lesi sicelo, okuba umyalelo oya ebhange ukuba likhokhele abakwaSARS.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Ukukhokha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okwenziwe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-eFiling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akujikiseki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futhi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ukwazi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ukukubuyisa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noma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ibuyiselwe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emuva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Ukuze ubone indlela yokusebenzisa i-eFiling ngemininingwane yasebhange, landela lezi zinyathelo ezilandelayo.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Izinyathelo zokusebenzisa i-eFiling ngemininingwane yasebhange yilezi: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 xml:space="preserve">Ngaphambi kokusebenzisa indlela yokukhokha nge-eFiling,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kumele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uqale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uqinisekise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lakho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liyawemukela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amathransekushini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e-</w:t>
      </w:r>
      <w:r w:rsidRPr="00A53C11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credit push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223913A3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Isungqangi:  </w:t>
      </w:r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Khulumisana nebhange lakho mayelana nokungena ku-akhawunti eyemukela i-</w:t>
      </w:r>
      <w:r w:rsidRPr="00A53C11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credit push</w:t>
      </w:r>
      <w:r w:rsidRPr="00351A30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02B3122F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Kubantu ngamunye, cofa ku-‘Home’ ngenhla lapho kucingwa khona:</w:t>
      </w:r>
    </w:p>
    <w:p w14:paraId="2ACD50DE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60D5373A" wp14:editId="6EB489E1">
            <wp:extent cx="6067425" cy="762000"/>
            <wp:effectExtent l="0" t="0" r="9525" b="0"/>
            <wp:docPr id="16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742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A42C8B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Kulandele u-‘User’ ngakwesokunxele lapho kucingwa khona bese uya ku-‘Banking Details’:</w:t>
      </w:r>
    </w:p>
    <w:p w14:paraId="324D9D73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1F1A6677" wp14:editId="52D9A218">
            <wp:extent cx="2305050" cy="1628775"/>
            <wp:effectExtent l="0" t="0" r="0" b="9525"/>
            <wp:docPr id="17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Izinhlangano noma izisebenzi zentela, cofa ku-‘Organisations’ ngenhla lapho kucingwa khona:</w:t>
      </w:r>
    </w:p>
    <w:p w14:paraId="669E0D28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22C5BC6" wp14:editId="7AC9615D">
            <wp:extent cx="10115550" cy="733425"/>
            <wp:effectExtent l="0" t="0" r="0" b="9525"/>
            <wp:docPr id="18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6BA334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Kulandele u-‘Organisation’ ngakwesokunxele lapho kucingwa khona bese uya ku-‘Banking Details’:</w:t>
      </w:r>
    </w:p>
    <w:p w14:paraId="3460DC68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1AA933F6" wp14:editId="683B22A1">
            <wp:extent cx="2209800" cy="2828925"/>
            <wp:effectExtent l="0" t="0" r="0" b="9525"/>
            <wp:docPr id="19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282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2F44572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  <w:t>Uma kwenzeka udinga ukufaka i-akhawunti entsha, cofa ku-‘Setup New Account’: </w:t>
      </w:r>
    </w:p>
    <w:p w14:paraId="7018DAB6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3FAC7885" wp14:editId="56984DB9">
            <wp:extent cx="1762125" cy="590550"/>
            <wp:effectExtent l="0" t="0" r="9525" b="0"/>
            <wp:docPr id="20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2125" cy="590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48B7015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Kungenjalo, ungalandela izinyathelo ezilandelayo ukuze ufake imininingwane yasebhange.</w:t>
      </w:r>
    </w:p>
    <w:p w14:paraId="745798B0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Cofa ku-“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Returns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”, bese kuba u-“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Payments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” ngakwesokunxele lapho kucingwa khona bese kuba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 Details Setup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”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ukuze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ufake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yakho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-eFiling.</w:t>
      </w:r>
    </w:p>
    <w:p w14:paraId="5F898794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Okuba kumenyu kuhluka phakathi kwamaphrofayili omuntu siqu, inhlangano kanye nesisebenzi sentela. Ngezansi isibonelo sephrofayili yomuntu kanye nenhlangano kumenyu.</w:t>
      </w:r>
    </w:p>
    <w:p w14:paraId="3A232B7B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2BEA9005" wp14:editId="60A3D32D">
            <wp:extent cx="5876925" cy="647700"/>
            <wp:effectExtent l="0" t="0" r="9525" b="0"/>
            <wp:docPr id="21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47EB0B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7E94A81" wp14:editId="1BDBF295">
            <wp:extent cx="10239375" cy="619125"/>
            <wp:effectExtent l="0" t="0" r="9525" b="9525"/>
            <wp:docPr id="22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93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C10EB46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5FF60F0D" wp14:editId="7DAC4627">
            <wp:extent cx="2495550" cy="2752725"/>
            <wp:effectExtent l="0" t="0" r="0" b="9525"/>
            <wp:docPr id="23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1EB405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Kuzobe sekuvela isikrini esibhalwe 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Banking Information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”. Ukukhetha i-Credit Push kuzozikhethekela ngokwakho.</w:t>
      </w:r>
    </w:p>
    <w:p w14:paraId="74ED0A9D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550C3D9A" wp14:editId="51A42B77">
            <wp:extent cx="6886575" cy="4419600"/>
            <wp:effectExtent l="0" t="0" r="9525" b="0"/>
            <wp:docPr id="24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6575" cy="441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BD3154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ukhethe i-“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Banking Product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”, kuzovela uhla lwamabhange. Khetha ibhange elifanele.</w:t>
      </w:r>
    </w:p>
    <w:p w14:paraId="291A4CF1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22244B00" wp14:editId="655DFF83">
            <wp:extent cx="6400800" cy="5076825"/>
            <wp:effectExtent l="0" t="0" r="0" b="9525"/>
            <wp:docPr id="25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507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682D4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Emva kokukhetha ibhange, kuzobe sekuvela indawo yokufaka inombolo ye-akhawunti ukuze uyigcwalise. Gcwalisa le ndawo bese ukhetha u-“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Save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ukuze uqhubeke noma u-“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Back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ukwenza izinguquko olwazini lwasebhange olufakiwe.</w:t>
      </w:r>
    </w:p>
    <w:p w14:paraId="21D5F195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62202D7D" wp14:editId="077DF9A4">
            <wp:extent cx="6915150" cy="5105400"/>
            <wp:effectExtent l="0" t="0" r="0" b="0"/>
            <wp:docPr id="26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510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1B0A1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Emva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kokugcina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yasebhange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izobe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isigcinwa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-eFiling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njengoba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kutshengisiwe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ngezansi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0101DF9E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06DECB45" wp14:editId="2C28BC82">
            <wp:extent cx="10115550" cy="1285875"/>
            <wp:effectExtent l="0" t="0" r="0" b="9525"/>
            <wp:docPr id="27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1555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C5CAE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ucofa ikhonco elithi 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Open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”, kuzovela ikhasi elinolwazi lwasebhange.</w:t>
      </w:r>
    </w:p>
    <w:p w14:paraId="69AC6676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31D481AC" wp14:editId="407F7109">
            <wp:extent cx="6848475" cy="5191125"/>
            <wp:effectExtent l="0" t="0" r="9525" b="9525"/>
            <wp:docPr id="28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8475" cy="519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E3ADB6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Ukuze ususe imininingwane yebhange, cofa ikinobho elithi 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Delete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”. Cofa ku-“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ukuqinisekisa ukuthi uyayisusa imininingwane yebhange noma ku-“</w:t>
      </w:r>
      <w:r w:rsidRPr="00A53C11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Cancel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 ukvala umyalezo.</w:t>
      </w:r>
    </w:p>
    <w:p w14:paraId="5A8BE7B9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74204008" wp14:editId="144563FA">
            <wp:extent cx="5153025" cy="923925"/>
            <wp:effectExtent l="0" t="0" r="9525" b="9525"/>
            <wp:docPr id="29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302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457E6C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Emva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kokuqinisekisa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ukususwa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kwemininingwane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ayikho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ezovela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ekhasini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le-eFiling.</w:t>
      </w:r>
    </w:p>
    <w:p w14:paraId="390FC363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noProof/>
          <w:color w:val="333333"/>
          <w:kern w:val="0"/>
          <w:sz w:val="24"/>
          <w:szCs w:val="24"/>
          <w:lang w:eastAsia="en-ZA"/>
          <w14:ligatures w14:val="none"/>
        </w:rPr>
        <w:drawing>
          <wp:inline distT="0" distB="0" distL="0" distR="0" wp14:anchorId="4519250B" wp14:editId="70AEEBD0">
            <wp:extent cx="10725150" cy="1266825"/>
            <wp:effectExtent l="0" t="0" r="0" b="9525"/>
            <wp:docPr id="30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25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C771C0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Isungqangi: </w:t>
      </w:r>
      <w:r w:rsidRPr="00A53C11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I-Credit Push ifakwa kanye kuphela</w:t>
      </w: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A63A2D8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Uma inkokhele isiyenziwe ku-eFiling uzodinga ukuba ungene emkhiqizweni wakho wasebhange bese ugunyaza ithransekushini.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5B6B3F57" w14:textId="77777777" w:rsidR="00270587" w:rsidRPr="00270587" w:rsidRDefault="00270587" w:rsidP="00F66959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UKUQINISEKISWA KWEMINININGWANE YEBHANGE lapho ufaka uhlelo lokukhokha nge-credit push</w:t>
      </w:r>
    </w:p>
    <w:p w14:paraId="3C69C4A6" w14:textId="77777777" w:rsidR="00270587" w:rsidRPr="00270587" w:rsidRDefault="00270587" w:rsidP="00F669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Lapho amakhasimende e-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Investec bank, i-Citi bank SASFIN Bank kanye ne-Albaraka Bank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 efaka imininingwane awo ebhange ukuze akhokhe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ngeeFiling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;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iqinisekiswa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yibhange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ukuze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liqinisekise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isikhungo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siyiso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40A9D831" w14:textId="77777777" w:rsidR="00270587" w:rsidRPr="00270587" w:rsidRDefault="00270587" w:rsidP="00F669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Ngezansi imininingwane yekhasimende eqinisekiswa iqhathaniswa nemininingwane ye-akhawunti yebhange; ngesikhathi kukhokhwa ngenqubo yohlelo lwe-credit push kumabhange angenhla.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br/>
      </w:r>
    </w:p>
    <w:p w14:paraId="4ED79901" w14:textId="77777777" w:rsidR="00270587" w:rsidRPr="00270587" w:rsidRDefault="00270587" w:rsidP="00F6695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 yasebhange.</w:t>
      </w:r>
    </w:p>
    <w:p w14:paraId="4015A6F6" w14:textId="77777777" w:rsidR="00270587" w:rsidRPr="00270587" w:rsidRDefault="00270587" w:rsidP="00F6695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Isikhungo esizoba yinombolo yokuhlonza abantu siqu.</w:t>
      </w:r>
    </w:p>
    <w:p w14:paraId="19B2FEEA" w14:textId="77777777" w:rsidR="00270587" w:rsidRPr="00270587" w:rsidRDefault="00270587" w:rsidP="00F66959">
      <w:pPr>
        <w:numPr>
          <w:ilvl w:val="1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Inombolo yokubhalisa inkampani (uma kuyinhlangano) kanye nenombolo yethrasti uma kuyithrasti.</w:t>
      </w:r>
    </w:p>
    <w:p w14:paraId="02EA1ECB" w14:textId="77777777" w:rsidR="00270587" w:rsidRPr="00270587" w:rsidRDefault="00270587" w:rsidP="00F669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imininingwane yebhange 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isifakelwe inqubo yohlelo lwe-credit push, cofa ikinobho elithi “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save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”. Esimweni lapho imininingwane yekhasimende 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yephrofayili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ye-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eFiling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ifana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nemininingwane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yebhange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imininingwane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yebhange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efakiwe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izobe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isifaneleka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enqubweni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yokuqinisekisa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6AAC05AB" w14:textId="21541FE3" w:rsidR="00270587" w:rsidRPr="00270587" w:rsidRDefault="00270587" w:rsidP="00F669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Uma 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inombolo yokubhalisa isikhungo efana nenombolo kamazisi / inombolo ye-CK / inombolo yethrasti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kuphrofayili ye-eFiling ingaqondani nesebhange.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Kuzovela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umyalezo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oqinisekisa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ukuthi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ukuqinisekiswa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akubanga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yimpumelelo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othi</w:t>
      </w:r>
      <w:proofErr w:type="spellEnd"/>
      <w:r w:rsidR="00CC192A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“Account verification request not successful – 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The entity registration number does not match the identification registered for this account/profile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”.</w:t>
      </w:r>
    </w:p>
    <w:p w14:paraId="64626C9A" w14:textId="77777777" w:rsidR="00270587" w:rsidRPr="00270587" w:rsidRDefault="00270587" w:rsidP="00F669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Imininingwane yekhasimende ebhalise i-eFiling 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engahambisani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nemininingwane yasebhange inqubo yokuqinisekisa ayibi yimpumelelo; noma uma kukhona okuvimbayo ebhange 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okuthinta izimali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ku-akhawunti kuzovela umyalezo othi “</w:t>
      </w:r>
      <w:r w:rsidRPr="0074002B">
        <w:rPr>
          <w:rFonts w:ascii="Arial" w:eastAsia="Times New Roman" w:hAnsi="Arial" w:cs="Arial"/>
          <w:b/>
          <w:bCs/>
          <w:color w:val="333333"/>
          <w:kern w:val="0"/>
          <w:sz w:val="24"/>
          <w:szCs w:val="24"/>
          <w:lang w:eastAsia="en-ZA"/>
          <w14:ligatures w14:val="none"/>
        </w:rPr>
        <w:t>Account verification request not successful, there is a hold /profile that does not allow this transaction to be processed</w:t>
      </w: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”.</w:t>
      </w:r>
    </w:p>
    <w:p w14:paraId="2EED4DFA" w14:textId="77777777" w:rsidR="00270587" w:rsidRPr="00270587" w:rsidRDefault="00270587" w:rsidP="00F66959">
      <w:pPr>
        <w:numPr>
          <w:ilvl w:val="0"/>
          <w:numId w:val="1"/>
        </w:numPr>
        <w:spacing w:before="100" w:beforeAutospacing="1" w:after="100" w:afterAutospacing="1" w:line="240" w:lineRule="auto"/>
        <w:textAlignment w:val="baseline"/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</w:pPr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Amakhasimende ayelulekwa ukuba aqhathanise imininingwane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ebhaliswe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ku-akhawunti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yasebhange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naleyo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ekuphrofayili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ye-eFiling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bese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belungisa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lapho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kunesidingo</w:t>
      </w:r>
      <w:proofErr w:type="spellEnd"/>
      <w:r w:rsidRPr="00270587">
        <w:rPr>
          <w:rFonts w:ascii="Arial" w:eastAsia="Times New Roman" w:hAnsi="Arial" w:cs="Arial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16726F69" w14:textId="77777777" w:rsidR="00713064" w:rsidRDefault="00713064" w:rsidP="00F66959"/>
    <w:sectPr w:rsidR="0071306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EB4D45"/>
    <w:multiLevelType w:val="multilevel"/>
    <w:tmpl w:val="25769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68350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587"/>
    <w:rsid w:val="00270587"/>
    <w:rsid w:val="00351A30"/>
    <w:rsid w:val="00713064"/>
    <w:rsid w:val="0074002B"/>
    <w:rsid w:val="0079216F"/>
    <w:rsid w:val="00A53C11"/>
    <w:rsid w:val="00CC192A"/>
    <w:rsid w:val="00F6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A524D"/>
  <w15:chartTrackingRefBased/>
  <w15:docId w15:val="{3589E6ED-41AF-4E80-8F2C-89C37D141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89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4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30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103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6272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102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195179">
                  <w:marLeft w:val="0"/>
                  <w:marRight w:val="0"/>
                  <w:marTop w:val="0"/>
                  <w:marBottom w:val="0"/>
                  <w:divBdr>
                    <w:top w:val="single" w:sz="6" w:space="0" w:color="D5D8DC"/>
                    <w:left w:val="single" w:sz="6" w:space="0" w:color="D5D8DC"/>
                    <w:bottom w:val="single" w:sz="6" w:space="0" w:color="D5D8DC"/>
                    <w:right w:val="single" w:sz="6" w:space="0" w:color="D5D8DC"/>
                  </w:divBdr>
                  <w:divsChild>
                    <w:div w:id="1191144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294948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1" w:color="D5D8DC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image" Target="media/image15.jpeg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1" Type="http://schemas.openxmlformats.org/officeDocument/2006/relationships/numbering" Target="numbering.xml"/><Relationship Id="rId6" Type="http://schemas.openxmlformats.org/officeDocument/2006/relationships/hyperlink" Target="https://www.sars.gov.za/customs-and-excise/" TargetMode="External"/><Relationship Id="rId11" Type="http://schemas.openxmlformats.org/officeDocument/2006/relationships/image" Target="media/image5.jpeg"/><Relationship Id="rId5" Type="http://schemas.openxmlformats.org/officeDocument/2006/relationships/hyperlink" Target="https://www.sars.gov.za/how-does-the-efiling-payment-reference-work-aug-2021/" TargetMode="External"/><Relationship Id="rId15" Type="http://schemas.openxmlformats.org/officeDocument/2006/relationships/image" Target="media/image9.jpeg"/><Relationship Id="rId23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814</Words>
  <Characters>4641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5445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Lungile Khoza</dc:creator>
  <cp:keywords/>
  <dc:description/>
  <cp:lastModifiedBy>Karen Truter</cp:lastModifiedBy>
  <cp:revision>4</cp:revision>
  <dcterms:created xsi:type="dcterms:W3CDTF">2023-10-11T10:02:00Z</dcterms:created>
  <dcterms:modified xsi:type="dcterms:W3CDTF">2023-10-19T08:42:00Z</dcterms:modified>
</cp:coreProperties>
</file>