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151E" w14:textId="77777777" w:rsidR="00AF7C89" w:rsidRPr="00AF7C89" w:rsidRDefault="00AF7C89" w:rsidP="00AF7C89">
      <w:pPr>
        <w:spacing w:line="240" w:lineRule="auto"/>
        <w:jc w:val="both"/>
        <w:outlineLvl w:val="0"/>
        <w:rPr>
          <w:rFonts w:eastAsia="Times New Roman" w:cstheme="minorHAnsi"/>
          <w:b/>
          <w:bCs/>
          <w:kern w:val="36"/>
          <w:sz w:val="54"/>
          <w:szCs w:val="54"/>
          <w:lang w:eastAsia="en-ZA"/>
        </w:rPr>
      </w:pPr>
      <w:r w:rsidRPr="00AF7C89">
        <w:rPr>
          <w:rFonts w:eastAsia="Times New Roman" w:cstheme="minorHAnsi"/>
          <w:b/>
          <w:bCs/>
          <w:kern w:val="36"/>
          <w:sz w:val="54"/>
          <w:szCs w:val="54"/>
          <w:lang w:eastAsia="en-ZA"/>
        </w:rPr>
        <w:t>Dieselterugbetalings vir boerderye</w:t>
      </w:r>
    </w:p>
    <w:p w14:paraId="70710A34" w14:textId="77777777" w:rsidR="00AF7C89" w:rsidRPr="00AF7C89" w:rsidRDefault="00AF7C89" w:rsidP="00AF7C89">
      <w:pPr>
        <w:spacing w:before="100" w:beforeAutospacing="1" w:after="100" w:afterAutospacing="1" w:line="240" w:lineRule="auto"/>
        <w:jc w:val="both"/>
        <w:outlineLvl w:val="1"/>
        <w:rPr>
          <w:rFonts w:eastAsia="Times New Roman" w:cstheme="minorHAnsi"/>
          <w:b/>
          <w:bCs/>
          <w:sz w:val="36"/>
          <w:szCs w:val="36"/>
          <w:lang w:eastAsia="en-ZA"/>
        </w:rPr>
      </w:pPr>
      <w:r w:rsidRPr="00AF7C89">
        <w:rPr>
          <w:rFonts w:eastAsia="Times New Roman" w:cstheme="minorHAnsi"/>
          <w:b/>
          <w:bCs/>
          <w:sz w:val="36"/>
          <w:szCs w:val="36"/>
          <w:lang w:eastAsia="en-ZA"/>
        </w:rPr>
        <w:t>Hoe kry ek toegang tot die dieselterugbetalingskema?</w:t>
      </w:r>
    </w:p>
    <w:p w14:paraId="3BA16CCB"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Die dieselterugbetaling word deur die Wet op Doeane en Aksyns toegepas, maar is ingestel deur die BTW-administratiewe stelsel, wat vereis dat 'n persoon vir BTW geregistreer moet wees. </w:t>
      </w:r>
    </w:p>
    <w:p w14:paraId="3AD783FC"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Kwalifiserende ondernemings wat kwalifiserende bedrywighede bedryf en vir BTW geregistreer is, mag registrastreer vir die dieselterugbetaling. Boerdery is 'n kwalifiserende bedrywigheid ingevolge 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en meeste </w:t>
      </w:r>
      <w:r w:rsidRPr="0089307D">
        <w:rPr>
          <w:rFonts w:eastAsia="Times New Roman" w:cstheme="minorHAnsi"/>
          <w:color w:val="0070C0"/>
          <w:sz w:val="24"/>
          <w:szCs w:val="24"/>
          <w:lang w:eastAsia="en-ZA"/>
        </w:rPr>
        <w:t>boerderyondernemings</w:t>
      </w:r>
      <w:r w:rsidRPr="00AF7C89">
        <w:rPr>
          <w:rFonts w:eastAsia="Times New Roman" w:cstheme="minorHAnsi"/>
          <w:sz w:val="24"/>
          <w:szCs w:val="24"/>
          <w:lang w:eastAsia="en-ZA"/>
        </w:rPr>
        <w:t xml:space="preserve"> sal kwalifiseer vir 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Die persoon wat die boerderyonderneming bedryf, moet aansoek doen vir registrasie vir 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w:t>
      </w:r>
      <w:hyperlink r:id="rId7" w:history="1"/>
      <w:hyperlink r:id="rId8" w:history="1"/>
      <w:hyperlink r:id="rId9" w:history="1"/>
      <w:hyperlink r:id="rId10" w:history="1"/>
    </w:p>
    <w:p w14:paraId="78EF2506"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word tans geadministreer deur die BTW-stelsel, daarom die vereiste dat BTW-registrasie 'n voorvereiste vir deelname aan die skema is.</w:t>
      </w:r>
      <w:hyperlink r:id="rId11" w:history="1"/>
    </w:p>
    <w:p w14:paraId="096C4627"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Indien die persoon reeds as ondernemer vir BTW geregistreer is, kan aansoek vir registrasie vir 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gedoen word deur 'n </w:t>
      </w:r>
      <w:r w:rsidRPr="0089307D">
        <w:rPr>
          <w:rFonts w:eastAsia="Times New Roman" w:cstheme="minorHAnsi"/>
          <w:color w:val="0070C0"/>
          <w:sz w:val="24"/>
          <w:szCs w:val="24"/>
          <w:lang w:eastAsia="en-ZA"/>
        </w:rPr>
        <w:t xml:space="preserve">VAT101D-vorm </w:t>
      </w:r>
      <w:r w:rsidRPr="00AF7C89">
        <w:rPr>
          <w:rFonts w:eastAsia="Times New Roman" w:cstheme="minorHAnsi"/>
          <w:sz w:val="24"/>
          <w:szCs w:val="24"/>
          <w:lang w:eastAsia="en-ZA"/>
        </w:rPr>
        <w:t>te voltooi en in te dien.</w:t>
      </w:r>
      <w:hyperlink r:id="rId12" w:history="1"/>
      <w:r w:rsidRPr="00AF7C89">
        <w:rPr>
          <w:rFonts w:eastAsia="Times New Roman" w:cstheme="minorHAnsi"/>
          <w:sz w:val="24"/>
          <w:szCs w:val="24"/>
          <w:lang w:eastAsia="en-ZA"/>
        </w:rPr>
        <w:t> </w:t>
      </w:r>
    </w:p>
    <w:p w14:paraId="19CBFA19"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Indien die persoon nie as ondernemer vir BTW geregistreer is nie, kan aansoek as BTW-ondernemer en registrasie vir die </w:t>
      </w:r>
      <w:r w:rsidRPr="0089307D">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gelyktydig gedoen word deur die </w:t>
      </w:r>
      <w:r w:rsidRPr="0089307D">
        <w:rPr>
          <w:rFonts w:eastAsia="Times New Roman" w:cstheme="minorHAnsi"/>
          <w:color w:val="0070C0"/>
          <w:sz w:val="24"/>
          <w:szCs w:val="24"/>
          <w:lang w:eastAsia="en-ZA"/>
        </w:rPr>
        <w:t>VAT101</w:t>
      </w:r>
      <w:r w:rsidRPr="00AF7C89">
        <w:rPr>
          <w:rFonts w:eastAsia="Times New Roman" w:cstheme="minorHAnsi"/>
          <w:sz w:val="24"/>
          <w:szCs w:val="24"/>
          <w:lang w:eastAsia="en-ZA"/>
        </w:rPr>
        <w:t xml:space="preserve"> en </w:t>
      </w:r>
      <w:r w:rsidRPr="0089307D">
        <w:rPr>
          <w:rFonts w:eastAsia="Times New Roman" w:cstheme="minorHAnsi"/>
          <w:color w:val="0070C0"/>
          <w:sz w:val="24"/>
          <w:szCs w:val="24"/>
          <w:lang w:eastAsia="en-ZA"/>
        </w:rPr>
        <w:t>VAT101D-</w:t>
      </w:r>
      <w:r w:rsidRPr="00AF7C89">
        <w:rPr>
          <w:rFonts w:eastAsia="Times New Roman" w:cstheme="minorHAnsi"/>
          <w:sz w:val="24"/>
          <w:szCs w:val="24"/>
          <w:lang w:eastAsia="en-ZA"/>
        </w:rPr>
        <w:t xml:space="preserve">vorms te voltooi en in te dien.  Neem kennis dat registrasies steeds sal afhang van welke die ander vereistes vir </w:t>
      </w:r>
      <w:r w:rsidRPr="00EB61A0">
        <w:rPr>
          <w:rFonts w:eastAsia="Times New Roman" w:cstheme="minorHAnsi"/>
          <w:color w:val="0070C0"/>
          <w:sz w:val="24"/>
          <w:szCs w:val="24"/>
          <w:lang w:eastAsia="en-ZA"/>
        </w:rPr>
        <w:t xml:space="preserve">BTW-registrasie </w:t>
      </w:r>
      <w:r w:rsidRPr="00AF7C89">
        <w:rPr>
          <w:rFonts w:eastAsia="Times New Roman" w:cstheme="minorHAnsi"/>
          <w:sz w:val="24"/>
          <w:szCs w:val="24"/>
          <w:lang w:eastAsia="en-ZA"/>
        </w:rPr>
        <w:t>en dieselterugbetalingskema ook aan voldoen word.</w:t>
      </w:r>
      <w:hyperlink r:id="rId13" w:history="1"/>
      <w:hyperlink r:id="rId14" w:history="1"/>
      <w:hyperlink r:id="rId15" w:history="1"/>
      <w:hyperlink r:id="rId16" w:history="1"/>
      <w:r w:rsidRPr="00AF7C89">
        <w:rPr>
          <w:rFonts w:eastAsia="Times New Roman" w:cstheme="minorHAnsi"/>
          <w:sz w:val="24"/>
          <w:szCs w:val="24"/>
          <w:lang w:eastAsia="en-ZA"/>
        </w:rPr>
        <w:t> </w:t>
      </w:r>
    </w:p>
    <w:p w14:paraId="41463FD6" w14:textId="77777777" w:rsidR="00AF7C89" w:rsidRPr="00AF7C89" w:rsidRDefault="00AF7C89" w:rsidP="00AF7C89">
      <w:pPr>
        <w:spacing w:before="100" w:beforeAutospacing="1" w:after="100" w:afterAutospacing="1" w:line="240" w:lineRule="auto"/>
        <w:jc w:val="both"/>
        <w:outlineLvl w:val="1"/>
        <w:rPr>
          <w:rFonts w:eastAsia="Times New Roman" w:cstheme="minorHAnsi"/>
          <w:b/>
          <w:bCs/>
          <w:sz w:val="36"/>
          <w:szCs w:val="36"/>
          <w:lang w:eastAsia="en-ZA"/>
        </w:rPr>
      </w:pPr>
      <w:r w:rsidRPr="00AF7C89">
        <w:rPr>
          <w:rFonts w:eastAsia="Times New Roman" w:cstheme="minorHAnsi"/>
          <w:b/>
          <w:bCs/>
          <w:sz w:val="36"/>
          <w:szCs w:val="36"/>
          <w:lang w:eastAsia="en-ZA"/>
        </w:rPr>
        <w:t>Hoe eis ek vir dieselterugbetaling?</w:t>
      </w:r>
    </w:p>
    <w:p w14:paraId="3F0BDBC5" w14:textId="00A0DE0A"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Die dieselterugbetalings ingevolge die </w:t>
      </w:r>
      <w:r w:rsidRPr="00EB61A0">
        <w:rPr>
          <w:rFonts w:eastAsia="Times New Roman" w:cstheme="minorHAnsi"/>
          <w:color w:val="0070C0"/>
          <w:sz w:val="24"/>
          <w:szCs w:val="24"/>
          <w:lang w:eastAsia="en-ZA"/>
        </w:rPr>
        <w:t>dieselterugbetalingskema</w:t>
      </w:r>
      <w:r w:rsidRPr="00AF7C89">
        <w:rPr>
          <w:rFonts w:eastAsia="Times New Roman" w:cstheme="minorHAnsi"/>
          <w:sz w:val="24"/>
          <w:szCs w:val="24"/>
          <w:lang w:eastAsia="en-ZA"/>
        </w:rPr>
        <w:t xml:space="preserve"> word geprosesseer deur die BTW-administratiestelsel.</w:t>
      </w:r>
      <w:hyperlink r:id="rId17" w:history="1"/>
    </w:p>
    <w:p w14:paraId="44FAE50A"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Die eis vir 'n dieselterugbetaling moet deur die VAT201-terugbetaling gedoen word wat op </w:t>
      </w:r>
      <w:r w:rsidRPr="00EB61A0">
        <w:rPr>
          <w:rFonts w:eastAsia="Times New Roman" w:cstheme="minorHAnsi"/>
          <w:color w:val="0070C0"/>
          <w:sz w:val="24"/>
          <w:szCs w:val="24"/>
          <w:lang w:eastAsia="en-ZA"/>
        </w:rPr>
        <w:t>eFiling</w:t>
      </w:r>
      <w:r w:rsidRPr="00AF7C89">
        <w:rPr>
          <w:rFonts w:eastAsia="Times New Roman" w:cstheme="minorHAnsi"/>
          <w:sz w:val="24"/>
          <w:szCs w:val="24"/>
          <w:lang w:eastAsia="en-ZA"/>
        </w:rPr>
        <w:t xml:space="preserve"> beskikbaar is. 'n Dieselterugbetalingeis sal teen enige BTW-aanspreeklikheid verreken word wat betaalbaar is vir die belastingtydperk betrokke, of alternatiewelik, sal die dieselterugbetalingeis enige verskuldige BTW-terugbetaling verhoog.</w:t>
      </w:r>
      <w:hyperlink r:id="rId18" w:history="1"/>
    </w:p>
    <w:p w14:paraId="68318D9E"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Dit is belangrik dat alle toepaslike dokumente, ten opsigte van dieselaankope, verkry en behou word, asook verskeie ritboekinskrywings of ander rekords wat die werklike bedrae aandui van diesel wat uit voorraad getrek is vir kwalifiserende en niekwalifiserende gebruik gedurende die belastingtydperk.</w:t>
      </w:r>
    </w:p>
    <w:p w14:paraId="5012D032"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Enige dieselterugbetalingbedrag wat bevind word as foutief terugbetaal, sal aan SARS terugbetaal moet word, tesame met enige toepaslike boetes en rente.</w:t>
      </w:r>
    </w:p>
    <w:p w14:paraId="1308097D" w14:textId="77777777" w:rsidR="007C1CDF" w:rsidRDefault="007C1CDF"/>
    <w:sectPr w:rsidR="007C1CD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6E4F" w14:textId="77777777" w:rsidR="002575EF" w:rsidRDefault="002575EF" w:rsidP="002575EF">
      <w:pPr>
        <w:spacing w:after="0" w:line="240" w:lineRule="auto"/>
      </w:pPr>
      <w:r>
        <w:separator/>
      </w:r>
    </w:p>
  </w:endnote>
  <w:endnote w:type="continuationSeparator" w:id="0">
    <w:p w14:paraId="7F4DD39B" w14:textId="77777777" w:rsidR="002575EF" w:rsidRDefault="002575EF" w:rsidP="0025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1599" w14:textId="77777777" w:rsidR="002575EF" w:rsidRDefault="0025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11B6" w14:textId="6414F094" w:rsidR="002575EF" w:rsidRDefault="002575EF">
    <w:pPr>
      <w:pStyle w:val="Footer"/>
    </w:pPr>
    <w:r>
      <w:t>Translated on 29 November 2021 (AO)</w:t>
    </w:r>
  </w:p>
  <w:p w14:paraId="67AF4627" w14:textId="77777777" w:rsidR="002575EF" w:rsidRDefault="00257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AFB1" w14:textId="77777777" w:rsidR="002575EF" w:rsidRDefault="0025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1ACB" w14:textId="77777777" w:rsidR="002575EF" w:rsidRDefault="002575EF" w:rsidP="002575EF">
      <w:pPr>
        <w:spacing w:after="0" w:line="240" w:lineRule="auto"/>
      </w:pPr>
      <w:r>
        <w:separator/>
      </w:r>
    </w:p>
  </w:footnote>
  <w:footnote w:type="continuationSeparator" w:id="0">
    <w:p w14:paraId="78357158" w14:textId="77777777" w:rsidR="002575EF" w:rsidRDefault="002575EF" w:rsidP="0025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5F07" w14:textId="77777777" w:rsidR="002575EF" w:rsidRDefault="0025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6808" w14:textId="77777777" w:rsidR="002575EF" w:rsidRDefault="00257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BD0" w14:textId="77777777" w:rsidR="002575EF" w:rsidRDefault="0025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299"/>
    <w:multiLevelType w:val="multilevel"/>
    <w:tmpl w:val="38C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89"/>
    <w:rsid w:val="001A709C"/>
    <w:rsid w:val="002575EF"/>
    <w:rsid w:val="005C1ECC"/>
    <w:rsid w:val="007C1CDF"/>
    <w:rsid w:val="0089307D"/>
    <w:rsid w:val="009F46F4"/>
    <w:rsid w:val="00AF7C89"/>
    <w:rsid w:val="00C71BF1"/>
    <w:rsid w:val="00D3704E"/>
    <w:rsid w:val="00EB61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6EE"/>
  <w15:chartTrackingRefBased/>
  <w15:docId w15:val="{08288E32-F936-47B5-B5CD-66A0F78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5EF"/>
  </w:style>
  <w:style w:type="paragraph" w:styleId="Footer">
    <w:name w:val="footer"/>
    <w:basedOn w:val="Normal"/>
    <w:link w:val="FooterChar"/>
    <w:uiPriority w:val="99"/>
    <w:unhideWhenUsed/>
    <w:rsid w:val="00257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8016">
      <w:bodyDiv w:val="1"/>
      <w:marLeft w:val="0"/>
      <w:marRight w:val="0"/>
      <w:marTop w:val="0"/>
      <w:marBottom w:val="0"/>
      <w:divBdr>
        <w:top w:val="none" w:sz="0" w:space="0" w:color="auto"/>
        <w:left w:val="none" w:sz="0" w:space="0" w:color="auto"/>
        <w:bottom w:val="none" w:sz="0" w:space="0" w:color="auto"/>
        <w:right w:val="none" w:sz="0" w:space="0" w:color="auto"/>
      </w:divBdr>
      <w:divsChild>
        <w:div w:id="87238937">
          <w:marLeft w:val="0"/>
          <w:marRight w:val="0"/>
          <w:marTop w:val="0"/>
          <w:marBottom w:val="0"/>
          <w:divBdr>
            <w:top w:val="none" w:sz="0" w:space="0" w:color="auto"/>
            <w:left w:val="none" w:sz="0" w:space="0" w:color="auto"/>
            <w:bottom w:val="none" w:sz="0" w:space="0" w:color="auto"/>
            <w:right w:val="none" w:sz="0" w:space="0" w:color="auto"/>
          </w:divBdr>
          <w:divsChild>
            <w:div w:id="804278538">
              <w:marLeft w:val="0"/>
              <w:marRight w:val="0"/>
              <w:marTop w:val="0"/>
              <w:marBottom w:val="0"/>
              <w:divBdr>
                <w:top w:val="none" w:sz="0" w:space="0" w:color="auto"/>
                <w:left w:val="none" w:sz="0" w:space="0" w:color="auto"/>
                <w:bottom w:val="none" w:sz="0" w:space="0" w:color="auto"/>
                <w:right w:val="none" w:sz="0" w:space="0" w:color="auto"/>
              </w:divBdr>
              <w:divsChild>
                <w:div w:id="1055619795">
                  <w:marLeft w:val="0"/>
                  <w:marRight w:val="0"/>
                  <w:marTop w:val="0"/>
                  <w:marBottom w:val="0"/>
                  <w:divBdr>
                    <w:top w:val="none" w:sz="0" w:space="0" w:color="auto"/>
                    <w:left w:val="none" w:sz="0" w:space="0" w:color="auto"/>
                    <w:bottom w:val="none" w:sz="0" w:space="0" w:color="auto"/>
                    <w:right w:val="none" w:sz="0" w:space="0" w:color="auto"/>
                  </w:divBdr>
                  <w:divsChild>
                    <w:div w:id="1705672591">
                      <w:marLeft w:val="0"/>
                      <w:marRight w:val="0"/>
                      <w:marTop w:val="0"/>
                      <w:marBottom w:val="0"/>
                      <w:divBdr>
                        <w:top w:val="none" w:sz="0" w:space="0" w:color="auto"/>
                        <w:left w:val="none" w:sz="0" w:space="0" w:color="auto"/>
                        <w:bottom w:val="none" w:sz="0" w:space="0" w:color="auto"/>
                        <w:right w:val="none" w:sz="0" w:space="0" w:color="auto"/>
                      </w:divBdr>
                      <w:divsChild>
                        <w:div w:id="421878169">
                          <w:marLeft w:val="0"/>
                          <w:marRight w:val="0"/>
                          <w:marTop w:val="0"/>
                          <w:marBottom w:val="0"/>
                          <w:divBdr>
                            <w:top w:val="none" w:sz="0" w:space="0" w:color="auto"/>
                            <w:left w:val="none" w:sz="0" w:space="0" w:color="auto"/>
                            <w:bottom w:val="none" w:sz="0" w:space="0" w:color="auto"/>
                            <w:right w:val="none" w:sz="0" w:space="0" w:color="auto"/>
                          </w:divBdr>
                          <w:divsChild>
                            <w:div w:id="1413813760">
                              <w:marLeft w:val="0"/>
                              <w:marRight w:val="0"/>
                              <w:marTop w:val="0"/>
                              <w:marBottom w:val="300"/>
                              <w:divBdr>
                                <w:top w:val="none" w:sz="0" w:space="0" w:color="auto"/>
                                <w:left w:val="none" w:sz="0" w:space="0" w:color="auto"/>
                                <w:bottom w:val="none" w:sz="0" w:space="0" w:color="auto"/>
                                <w:right w:val="none" w:sz="0" w:space="0" w:color="auto"/>
                              </w:divBdr>
                              <w:divsChild>
                                <w:div w:id="20511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4313">
          <w:marLeft w:val="0"/>
          <w:marRight w:val="0"/>
          <w:marTop w:val="0"/>
          <w:marBottom w:val="0"/>
          <w:divBdr>
            <w:top w:val="none" w:sz="0" w:space="0" w:color="auto"/>
            <w:left w:val="none" w:sz="0" w:space="0" w:color="auto"/>
            <w:bottom w:val="none" w:sz="0" w:space="0" w:color="auto"/>
            <w:right w:val="none" w:sz="0" w:space="0" w:color="auto"/>
          </w:divBdr>
          <w:divsChild>
            <w:div w:id="44447769">
              <w:marLeft w:val="0"/>
              <w:marRight w:val="0"/>
              <w:marTop w:val="0"/>
              <w:marBottom w:val="0"/>
              <w:divBdr>
                <w:top w:val="none" w:sz="0" w:space="0" w:color="auto"/>
                <w:left w:val="none" w:sz="0" w:space="0" w:color="auto"/>
                <w:bottom w:val="none" w:sz="0" w:space="0" w:color="auto"/>
                <w:right w:val="none" w:sz="0" w:space="0" w:color="auto"/>
              </w:divBdr>
              <w:divsChild>
                <w:div w:id="1183318356">
                  <w:marLeft w:val="0"/>
                  <w:marRight w:val="0"/>
                  <w:marTop w:val="0"/>
                  <w:marBottom w:val="0"/>
                  <w:divBdr>
                    <w:top w:val="none" w:sz="0" w:space="0" w:color="auto"/>
                    <w:left w:val="none" w:sz="0" w:space="0" w:color="auto"/>
                    <w:bottom w:val="none" w:sz="0" w:space="0" w:color="auto"/>
                    <w:right w:val="none" w:sz="0" w:space="0" w:color="auto"/>
                  </w:divBdr>
                  <w:divsChild>
                    <w:div w:id="585305244">
                      <w:marLeft w:val="0"/>
                      <w:marRight w:val="0"/>
                      <w:marTop w:val="0"/>
                      <w:marBottom w:val="0"/>
                      <w:divBdr>
                        <w:top w:val="none" w:sz="0" w:space="0" w:color="auto"/>
                        <w:left w:val="none" w:sz="0" w:space="0" w:color="auto"/>
                        <w:bottom w:val="none" w:sz="0" w:space="0" w:color="auto"/>
                        <w:right w:val="none" w:sz="0" w:space="0" w:color="auto"/>
                      </w:divBdr>
                      <w:divsChild>
                        <w:div w:id="236981510">
                          <w:marLeft w:val="0"/>
                          <w:marRight w:val="0"/>
                          <w:marTop w:val="0"/>
                          <w:marBottom w:val="0"/>
                          <w:divBdr>
                            <w:top w:val="none" w:sz="0" w:space="0" w:color="auto"/>
                            <w:left w:val="none" w:sz="0" w:space="0" w:color="auto"/>
                            <w:bottom w:val="none" w:sz="0" w:space="0" w:color="auto"/>
                            <w:right w:val="none" w:sz="0" w:space="0" w:color="auto"/>
                          </w:divBdr>
                          <w:divsChild>
                            <w:div w:id="448092310">
                              <w:marLeft w:val="0"/>
                              <w:marRight w:val="0"/>
                              <w:marTop w:val="0"/>
                              <w:marBottom w:val="0"/>
                              <w:divBdr>
                                <w:top w:val="none" w:sz="0" w:space="0" w:color="auto"/>
                                <w:left w:val="none" w:sz="0" w:space="0" w:color="auto"/>
                                <w:bottom w:val="none" w:sz="0" w:space="0" w:color="auto"/>
                                <w:right w:val="none" w:sz="0" w:space="0" w:color="auto"/>
                              </w:divBdr>
                              <w:divsChild>
                                <w:div w:id="164102315">
                                  <w:marLeft w:val="0"/>
                                  <w:marRight w:val="0"/>
                                  <w:marTop w:val="0"/>
                                  <w:marBottom w:val="0"/>
                                  <w:divBdr>
                                    <w:top w:val="none" w:sz="0" w:space="0" w:color="auto"/>
                                    <w:left w:val="none" w:sz="0" w:space="0" w:color="auto"/>
                                    <w:bottom w:val="none" w:sz="0" w:space="0" w:color="auto"/>
                                    <w:right w:val="none" w:sz="0" w:space="0" w:color="auto"/>
                                  </w:divBdr>
                                  <w:divsChild>
                                    <w:div w:id="1428043953">
                                      <w:marLeft w:val="0"/>
                                      <w:marRight w:val="0"/>
                                      <w:marTop w:val="0"/>
                                      <w:marBottom w:val="0"/>
                                      <w:divBdr>
                                        <w:top w:val="none" w:sz="0" w:space="0" w:color="auto"/>
                                        <w:left w:val="none" w:sz="0" w:space="0" w:color="auto"/>
                                        <w:bottom w:val="none" w:sz="0" w:space="0" w:color="auto"/>
                                        <w:right w:val="none" w:sz="0" w:space="0" w:color="auto"/>
                                      </w:divBdr>
                                      <w:divsChild>
                                        <w:div w:id="1294019676">
                                          <w:marLeft w:val="0"/>
                                          <w:marRight w:val="0"/>
                                          <w:marTop w:val="0"/>
                                          <w:marBottom w:val="0"/>
                                          <w:divBdr>
                                            <w:top w:val="none" w:sz="0" w:space="0" w:color="auto"/>
                                            <w:left w:val="none" w:sz="0" w:space="0" w:color="auto"/>
                                            <w:bottom w:val="none" w:sz="0" w:space="0" w:color="auto"/>
                                            <w:right w:val="none" w:sz="0" w:space="0" w:color="auto"/>
                                          </w:divBdr>
                                          <w:divsChild>
                                            <w:div w:id="1698845357">
                                              <w:marLeft w:val="0"/>
                                              <w:marRight w:val="0"/>
                                              <w:marTop w:val="0"/>
                                              <w:marBottom w:val="0"/>
                                              <w:divBdr>
                                                <w:top w:val="none" w:sz="0" w:space="0" w:color="auto"/>
                                                <w:left w:val="none" w:sz="0" w:space="0" w:color="auto"/>
                                                <w:bottom w:val="none" w:sz="0" w:space="0" w:color="auto"/>
                                                <w:right w:val="none" w:sz="0" w:space="0" w:color="auto"/>
                                              </w:divBdr>
                                              <w:divsChild>
                                                <w:div w:id="350491602">
                                                  <w:marLeft w:val="0"/>
                                                  <w:marRight w:val="0"/>
                                                  <w:marTop w:val="0"/>
                                                  <w:marBottom w:val="0"/>
                                                  <w:divBdr>
                                                    <w:top w:val="none" w:sz="0" w:space="0" w:color="auto"/>
                                                    <w:left w:val="none" w:sz="0" w:space="0" w:color="auto"/>
                                                    <w:bottom w:val="none" w:sz="0" w:space="0" w:color="auto"/>
                                                    <w:right w:val="none" w:sz="0" w:space="0" w:color="auto"/>
                                                  </w:divBdr>
                                                  <w:divsChild>
                                                    <w:div w:id="376201660">
                                                      <w:marLeft w:val="0"/>
                                                      <w:marRight w:val="0"/>
                                                      <w:marTop w:val="0"/>
                                                      <w:marBottom w:val="0"/>
                                                      <w:divBdr>
                                                        <w:top w:val="none" w:sz="0" w:space="0" w:color="auto"/>
                                                        <w:left w:val="none" w:sz="0" w:space="0" w:color="auto"/>
                                                        <w:bottom w:val="none" w:sz="0" w:space="0" w:color="auto"/>
                                                        <w:right w:val="none" w:sz="0" w:space="0" w:color="auto"/>
                                                      </w:divBdr>
                                                      <w:divsChild>
                                                        <w:div w:id="480274800">
                                                          <w:marLeft w:val="0"/>
                                                          <w:marRight w:val="0"/>
                                                          <w:marTop w:val="0"/>
                                                          <w:marBottom w:val="0"/>
                                                          <w:divBdr>
                                                            <w:top w:val="none" w:sz="0" w:space="0" w:color="auto"/>
                                                            <w:left w:val="none" w:sz="0" w:space="0" w:color="auto"/>
                                                            <w:bottom w:val="none" w:sz="0" w:space="0" w:color="auto"/>
                                                            <w:right w:val="none" w:sz="0" w:space="0" w:color="auto"/>
                                                          </w:divBdr>
                                                          <w:divsChild>
                                                            <w:div w:id="479155076">
                                                              <w:marLeft w:val="0"/>
                                                              <w:marRight w:val="0"/>
                                                              <w:marTop w:val="0"/>
                                                              <w:marBottom w:val="0"/>
                                                              <w:divBdr>
                                                                <w:top w:val="none" w:sz="0" w:space="0" w:color="auto"/>
                                                                <w:left w:val="none" w:sz="0" w:space="0" w:color="auto"/>
                                                                <w:bottom w:val="none" w:sz="0" w:space="0" w:color="auto"/>
                                                                <w:right w:val="none" w:sz="0" w:space="0" w:color="auto"/>
                                                              </w:divBdr>
                                                              <w:divsChild>
                                                                <w:div w:id="454450877">
                                                                  <w:marLeft w:val="0"/>
                                                                  <w:marRight w:val="0"/>
                                                                  <w:marTop w:val="0"/>
                                                                  <w:marBottom w:val="0"/>
                                                                  <w:divBdr>
                                                                    <w:top w:val="none" w:sz="0" w:space="0" w:color="auto"/>
                                                                    <w:left w:val="none" w:sz="0" w:space="0" w:color="auto"/>
                                                                    <w:bottom w:val="none" w:sz="0" w:space="0" w:color="auto"/>
                                                                    <w:right w:val="none" w:sz="0" w:space="0" w:color="auto"/>
                                                                  </w:divBdr>
                                                                  <w:divsChild>
                                                                    <w:div w:id="1521167388">
                                                                      <w:marLeft w:val="0"/>
                                                                      <w:marRight w:val="0"/>
                                                                      <w:marTop w:val="0"/>
                                                                      <w:marBottom w:val="300"/>
                                                                      <w:divBdr>
                                                                        <w:top w:val="none" w:sz="0" w:space="0" w:color="auto"/>
                                                                        <w:left w:val="none" w:sz="0" w:space="0" w:color="auto"/>
                                                                        <w:bottom w:val="none" w:sz="0" w:space="0" w:color="auto"/>
                                                                        <w:right w:val="none" w:sz="0" w:space="0" w:color="auto"/>
                                                                      </w:divBdr>
                                                                      <w:divsChild>
                                                                        <w:div w:id="1330863510">
                                                                          <w:marLeft w:val="0"/>
                                                                          <w:marRight w:val="0"/>
                                                                          <w:marTop w:val="0"/>
                                                                          <w:marBottom w:val="0"/>
                                                                          <w:divBdr>
                                                                            <w:top w:val="none" w:sz="0" w:space="0" w:color="auto"/>
                                                                            <w:left w:val="none" w:sz="0" w:space="0" w:color="auto"/>
                                                                            <w:bottom w:val="none" w:sz="0" w:space="0" w:color="auto"/>
                                                                            <w:right w:val="none" w:sz="0" w:space="0" w:color="auto"/>
                                                                          </w:divBdr>
                                                                        </w:div>
                                                                      </w:divsChild>
                                                                    </w:div>
                                                                    <w:div w:id="968317492">
                                                                      <w:marLeft w:val="0"/>
                                                                      <w:marRight w:val="0"/>
                                                                      <w:marTop w:val="0"/>
                                                                      <w:marBottom w:val="300"/>
                                                                      <w:divBdr>
                                                                        <w:top w:val="none" w:sz="0" w:space="0" w:color="auto"/>
                                                                        <w:left w:val="none" w:sz="0" w:space="0" w:color="auto"/>
                                                                        <w:bottom w:val="none" w:sz="0" w:space="0" w:color="auto"/>
                                                                        <w:right w:val="none" w:sz="0" w:space="0" w:color="auto"/>
                                                                      </w:divBdr>
                                                                      <w:divsChild>
                                                                        <w:div w:id="1092630039">
                                                                          <w:marLeft w:val="0"/>
                                                                          <w:marRight w:val="0"/>
                                                                          <w:marTop w:val="0"/>
                                                                          <w:marBottom w:val="0"/>
                                                                          <w:divBdr>
                                                                            <w:top w:val="none" w:sz="0" w:space="0" w:color="auto"/>
                                                                            <w:left w:val="none" w:sz="0" w:space="0" w:color="auto"/>
                                                                            <w:bottom w:val="none" w:sz="0" w:space="0" w:color="auto"/>
                                                                            <w:right w:val="none" w:sz="0" w:space="0" w:color="auto"/>
                                                                          </w:divBdr>
                                                                          <w:divsChild>
                                                                            <w:div w:id="12886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value-added-tax/farming/" TargetMode="External"/><Relationship Id="rId13" Type="http://schemas.openxmlformats.org/officeDocument/2006/relationships/hyperlink" Target="https://www.sars.gov.za/vat101-value-added-tax-registration-application-external-form/" TargetMode="External"/><Relationship Id="rId18" Type="http://schemas.openxmlformats.org/officeDocument/2006/relationships/hyperlink" Target="http://www.sarsefiling.co.z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ars.gov.za/customs-and-excise/excise/diesel-refund-system/" TargetMode="External"/><Relationship Id="rId12" Type="http://schemas.openxmlformats.org/officeDocument/2006/relationships/hyperlink" Target="https://www.sars.gov.za/vat101d-application-for-registration-of-diesel-refund-external-form/" TargetMode="External"/><Relationship Id="rId17" Type="http://schemas.openxmlformats.org/officeDocument/2006/relationships/hyperlink" Target="https://www.sars.gov.za/customs-and-excise/excise/diesel-refund-syst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ustoms-and-excise/excise/diesel-refund-syste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customs-and-excise/excise/diesel-refund-syste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ars.gov.za/businesses-and-employers/my-business-and-tax/register-for-vat/" TargetMode="External"/><Relationship Id="rId23" Type="http://schemas.openxmlformats.org/officeDocument/2006/relationships/header" Target="header3.xml"/><Relationship Id="rId10" Type="http://schemas.openxmlformats.org/officeDocument/2006/relationships/hyperlink" Target="https://www.sars.gov.za/customs-and-excise/excise/diesel-refund-syste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rs.gov.za/customs-and-excise/excise/diesel-refund-system/" TargetMode="External"/><Relationship Id="rId14" Type="http://schemas.openxmlformats.org/officeDocument/2006/relationships/hyperlink" Target="https://www.sars.gov.za/vat101d-application-for-registration-of-diesel-refund-external-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3</cp:revision>
  <dcterms:created xsi:type="dcterms:W3CDTF">2021-11-29T10:22:00Z</dcterms:created>
  <dcterms:modified xsi:type="dcterms:W3CDTF">2021-11-29T10:22:00Z</dcterms:modified>
</cp:coreProperties>
</file>