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2B95" w14:textId="77777777" w:rsidR="00F8439F" w:rsidRPr="00F8439F" w:rsidRDefault="00F8439F" w:rsidP="00F8439F">
      <w:pPr>
        <w:spacing w:line="240" w:lineRule="auto"/>
        <w:jc w:val="both"/>
        <w:outlineLvl w:val="0"/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kern w:val="36"/>
          <w:sz w:val="54"/>
          <w:szCs w:val="54"/>
          <w:lang w:eastAsia="en-ZA"/>
        </w:rPr>
        <w:t>Appèlle</w:t>
      </w:r>
      <w:proofErr w:type="spellEnd"/>
    </w:p>
    <w:p w14:paraId="634161C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Wat is 'n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appèl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?</w:t>
      </w:r>
    </w:p>
    <w:p w14:paraId="5E51D0CF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jy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 SARS se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aangaande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jou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saamstem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het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jy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reg om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daarteen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teken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  </w:t>
      </w:r>
    </w:p>
    <w:p w14:paraId="03C47F27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Wanneer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mag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ek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appèl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rig?</w:t>
      </w:r>
    </w:p>
    <w:p w14:paraId="244EA880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Jy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rig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werksdae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vandat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kennisgewing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afkeuring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gedeeltelike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toestaan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gelewer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het.  </w:t>
      </w:r>
    </w:p>
    <w:p w14:paraId="78A30C37" w14:textId="77777777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Hierdie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tydperk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 21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werksdae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verleng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senior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beampte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bevind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redelike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vertraging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bestaan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 of</w:t>
      </w:r>
    </w:p>
    <w:p w14:paraId="22189264" w14:textId="77777777" w:rsidR="00F8439F" w:rsidRPr="00F8439F" w:rsidRDefault="00F8439F" w:rsidP="00F843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30-daetydperk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 tot 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werksdae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verleng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senior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beampte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bevind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uitsonderlike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omstandighede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vertraging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bestaan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23B4DC46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en-ZA"/>
        </w:rPr>
      </w:pPr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Hoe rig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ek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appèl</w:t>
      </w:r>
      <w:proofErr w:type="spellEnd"/>
      <w:r w:rsidRPr="00F8439F">
        <w:rPr>
          <w:rFonts w:eastAsia="Times New Roman" w:cstheme="minorHAnsi"/>
          <w:b/>
          <w:bCs/>
          <w:sz w:val="36"/>
          <w:szCs w:val="36"/>
          <w:lang w:eastAsia="en-ZA"/>
        </w:rPr>
        <w:t>?</w:t>
      </w:r>
    </w:p>
    <w:p w14:paraId="6C732A0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Belastingsoorte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: MIB, PIB, LBS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BTW</w:t>
      </w:r>
    </w:p>
    <w:p w14:paraId="191FCB5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Geoutomatiseerde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dispuutbestuursproses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in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plek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bogenoemde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belastingsoorte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slegs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gerig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word:</w:t>
      </w:r>
    </w:p>
    <w:p w14:paraId="73C7E9F8" w14:textId="7777777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eFiling-begeleide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proses; of</w:t>
      </w:r>
    </w:p>
    <w:p w14:paraId="5767BF7C" w14:textId="77777777" w:rsidR="00F8439F" w:rsidRPr="00F8439F" w:rsidRDefault="00F8439F" w:rsidP="00F843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By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jou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naaste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Klik</w:t>
      </w:r>
      <w:proofErr w:type="spellEnd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hier</w:t>
      </w:r>
      <w:proofErr w:type="spellEnd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 xml:space="preserve"> om 'n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afspraak</w:t>
      </w:r>
      <w:proofErr w:type="spellEnd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te</w:t>
      </w:r>
      <w:proofErr w:type="spellEnd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maak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hyperlink r:id="rId7" w:history="1"/>
    </w:p>
    <w:p w14:paraId="4229E392" w14:textId="267E02C9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kennisgewing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mag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per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e-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gestuur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Slegs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elektroniese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by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by 'n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toegelaat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Wanneer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jy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neem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asseblief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kennis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volgende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eFiling-begeleide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proses: </w:t>
      </w:r>
      <w:r w:rsidRPr="00ED7F51">
        <w:rPr>
          <w:rFonts w:eastAsia="Times New Roman" w:cstheme="minorHAnsi"/>
          <w:sz w:val="24"/>
          <w:szCs w:val="24"/>
          <w:lang w:eastAsia="en-ZA"/>
        </w:rPr>
        <w:t xml:space="preserve">Om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belastingpligtiges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help om die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korrekte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dispuutstappe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volg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al die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vereiste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inligting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voltooi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behels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begeleide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proses. Die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eFiling</w:t>
      </w:r>
      <w:r w:rsidR="00ED7F51">
        <w:rPr>
          <w:rFonts w:eastAsia="Times New Roman" w:cstheme="minorHAnsi"/>
          <w:sz w:val="24"/>
          <w:szCs w:val="24"/>
          <w:lang w:eastAsia="en-ZA"/>
        </w:rPr>
        <w:t>-be</w:t>
      </w:r>
      <w:r w:rsidRPr="00ED7F51">
        <w:rPr>
          <w:rFonts w:eastAsia="Times New Roman" w:cstheme="minorHAnsi"/>
          <w:sz w:val="24"/>
          <w:szCs w:val="24"/>
          <w:lang w:eastAsia="en-ZA"/>
        </w:rPr>
        <w:t>geleide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proses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sorg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dispuut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ingedien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volgens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wetlike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vereistes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sodoende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vermy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enige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moontlike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ongeldige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dispute by SARS </w:t>
      </w:r>
      <w:proofErr w:type="spellStart"/>
      <w:r w:rsidRPr="00ED7F51">
        <w:rPr>
          <w:rFonts w:eastAsia="Times New Roman" w:cstheme="minorHAnsi"/>
          <w:sz w:val="24"/>
          <w:szCs w:val="24"/>
          <w:lang w:eastAsia="en-ZA"/>
        </w:rPr>
        <w:t>ingedien</w:t>
      </w:r>
      <w:proofErr w:type="spellEnd"/>
      <w:r w:rsidRPr="00ED7F51">
        <w:rPr>
          <w:rFonts w:eastAsia="Times New Roman" w:cstheme="minorHAnsi"/>
          <w:sz w:val="24"/>
          <w:szCs w:val="24"/>
          <w:lang w:eastAsia="en-ZA"/>
        </w:rPr>
        <w:t xml:space="preserve"> word.</w:t>
      </w: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Disputering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boetes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rente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5C0C249D" w14:textId="77777777" w:rsidR="00F8439F" w:rsidRPr="00F8439F" w:rsidRDefault="00F8439F" w:rsidP="00F843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volgende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bronkodes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gebruik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wanneer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heffing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bepaalde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boetes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/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rente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gedisputeer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word:</w:t>
      </w:r>
    </w:p>
    <w:p w14:paraId="58E58D4D" w14:textId="237524E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9987 -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Belastingvrye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belegging</w:t>
      </w:r>
      <w:r w:rsidR="00ED7F51">
        <w:rPr>
          <w:rFonts w:eastAsia="Times New Roman" w:cstheme="minorHAnsi"/>
          <w:sz w:val="24"/>
          <w:szCs w:val="24"/>
          <w:lang w:eastAsia="en-ZA"/>
        </w:rPr>
        <w:t>s</w:t>
      </w:r>
      <w:r w:rsidRPr="00F8439F">
        <w:rPr>
          <w:rFonts w:eastAsia="Times New Roman" w:cstheme="minorHAnsi"/>
          <w:sz w:val="24"/>
          <w:szCs w:val="24"/>
          <w:lang w:eastAsia="en-ZA"/>
        </w:rPr>
        <w:t>boete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  </w:t>
      </w:r>
    </w:p>
    <w:p w14:paraId="796A9CE2" w14:textId="60157B6C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9990 -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Onderskatting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voorlopige</w:t>
      </w:r>
      <w:proofErr w:type="spellEnd"/>
      <w:r w:rsid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(par 20)</w:t>
      </w:r>
    </w:p>
    <w:p w14:paraId="0A11891C" w14:textId="332CBF58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9991 -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Nie-indiening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voorlopige</w:t>
      </w:r>
      <w:proofErr w:type="spellEnd"/>
      <w:r w:rsidR="00ED7F51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(par 20A)</w:t>
      </w:r>
    </w:p>
    <w:p w14:paraId="5DC5A627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 xml:space="preserve">9992 -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Weglating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inkomste</w:t>
      </w:r>
      <w:proofErr w:type="spellEnd"/>
    </w:p>
    <w:p w14:paraId="0283FBBD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9988 -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Onderbetaling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voorlopigebelasting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[89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Q(</w:t>
      </w:r>
      <w:proofErr w:type="gramEnd"/>
      <w:r w:rsidRPr="00F8439F">
        <w:rPr>
          <w:rFonts w:eastAsia="Times New Roman" w:cstheme="minorHAnsi"/>
          <w:sz w:val="24"/>
          <w:szCs w:val="24"/>
          <w:lang w:eastAsia="en-ZA"/>
        </w:rPr>
        <w:t>2)]</w:t>
      </w:r>
    </w:p>
    <w:p w14:paraId="1C5D45C6" w14:textId="77777777" w:rsidR="00F8439F" w:rsidRPr="00F8439F" w:rsidRDefault="00F8439F" w:rsidP="00F8439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9993 - Laat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nie-indiening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belastingopgawe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  </w:t>
      </w:r>
    </w:p>
    <w:p w14:paraId="414A74AE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Belastingsoorte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 Ander</w:t>
      </w:r>
    </w:p>
    <w:p w14:paraId="606B071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Geskrewe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proses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gebruik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dipute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rig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alle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ander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behalwe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MIB, PIB, BTW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LBS.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dispuutvorm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wat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gebruik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is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Kennisgewing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(ADR2)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vorm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wat as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word:</w:t>
      </w:r>
    </w:p>
    <w:p w14:paraId="04FBA299" w14:textId="77777777" w:rsidR="00F8439F" w:rsidRPr="00F8439F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By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jou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naaste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klik</w:t>
      </w:r>
      <w:proofErr w:type="spellEnd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hier</w:t>
      </w:r>
      <w:proofErr w:type="spellEnd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 xml:space="preserve"> om 'n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afspraak</w:t>
      </w:r>
      <w:proofErr w:type="spellEnd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te</w:t>
      </w:r>
      <w:proofErr w:type="spellEnd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 xml:space="preserve"> </w:t>
      </w:r>
      <w:proofErr w:type="spellStart"/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maak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); of</w:t>
      </w:r>
      <w:hyperlink r:id="rId8" w:history="1"/>
    </w:p>
    <w:p w14:paraId="4499859F" w14:textId="77777777" w:rsidR="00F8439F" w:rsidRPr="00F8439F" w:rsidRDefault="00F8439F" w:rsidP="00F843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Per e-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r w:rsidRPr="00ED7F51">
        <w:rPr>
          <w:rFonts w:eastAsia="Times New Roman" w:cstheme="minorHAnsi"/>
          <w:color w:val="0070C0"/>
          <w:sz w:val="24"/>
          <w:szCs w:val="24"/>
          <w:lang w:eastAsia="en-ZA"/>
        </w:rPr>
        <w:t>contactus@sars.gov.za</w:t>
      </w:r>
    </w:p>
    <w:p w14:paraId="50A80DE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ADR2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elektronies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eFiling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slegs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aanvaar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belastingsoorte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waarvoor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elektronies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voorsien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5A29913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Wanneer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laat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ingedien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word:</w:t>
      </w:r>
    </w:p>
    <w:p w14:paraId="07B5877D" w14:textId="06D346CE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Wanneer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gerig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</w:t>
      </w:r>
      <w:r w:rsidR="00CC51B2">
        <w:rPr>
          <w:rFonts w:eastAsia="Times New Roman" w:cstheme="minorHAnsi"/>
          <w:sz w:val="24"/>
          <w:szCs w:val="24"/>
          <w:lang w:eastAsia="en-ZA"/>
        </w:rPr>
        <w:t>á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voorgeskrewe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tydperk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redes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verskaf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Die redes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oorweeg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senior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beampte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oortuig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redelike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uitsonderlike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bestaan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aanvaar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voorgeskrewe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tydperk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verleng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word. </w:t>
      </w:r>
    </w:p>
    <w:p w14:paraId="5A1B6DF9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aanvaar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voortgaan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oorweeg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daarvolgens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inlig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6956BFB3" w14:textId="77777777" w:rsidR="00F8439F" w:rsidRPr="00F8439F" w:rsidRDefault="00F8439F" w:rsidP="00F8439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aanvaar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oorweeg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daarvolgens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ingelig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mag dan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voortgaan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teken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teen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4005127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toegelaat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75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werksdae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aanvanklike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plus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maksimum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verlenging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datum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toe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staan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1DA324CC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16C7625B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Wanneer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dispuutvorm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voltooi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seker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besonderhede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uiteengesit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volgende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7A14F208" w14:textId="3333A70D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Watter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</w:t>
      </w:r>
      <w:proofErr w:type="spellEnd"/>
      <w:r w:rsidR="00816920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="00816920">
        <w:rPr>
          <w:rFonts w:eastAsia="Times New Roman" w:cstheme="minorHAnsi"/>
          <w:sz w:val="24"/>
          <w:szCs w:val="24"/>
          <w:lang w:eastAsia="en-ZA"/>
        </w:rPr>
        <w:t>soos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u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iteengesit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voorgeskrewe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beswaarvorm</w:t>
      </w:r>
      <w:proofErr w:type="spellEnd"/>
      <w:r w:rsidR="00816920">
        <w:rPr>
          <w:rFonts w:eastAsia="Times New Roman" w:cstheme="minorHAnsi"/>
          <w:sz w:val="24"/>
          <w:szCs w:val="24"/>
          <w:lang w:eastAsia="en-ZA"/>
        </w:rPr>
        <w:t>,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is</w:t>
      </w:r>
      <w:r w:rsidR="00816920">
        <w:rPr>
          <w:rFonts w:eastAsia="Times New Roman" w:cstheme="minorHAnsi"/>
          <w:sz w:val="24"/>
          <w:szCs w:val="24"/>
          <w:lang w:eastAsia="en-ZA"/>
        </w:rPr>
        <w:t xml:space="preserve"> die</w:t>
      </w:r>
      <w:r w:rsidRPr="00F8439F">
        <w:rPr>
          <w:rFonts w:eastAsia="Times New Roman" w:cstheme="minorHAnsi"/>
          <w:sz w:val="24"/>
          <w:szCs w:val="24"/>
          <w:lang w:eastAsia="en-ZA"/>
        </w:rPr>
        <w:t xml:space="preserve"> rede tot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109606DC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appellering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disputering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SARS se basis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toe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staan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uiteengesit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kennisgewing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afkeuring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d.i.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hoekom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saamstem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6691D367" w14:textId="77777777" w:rsidR="00F8439F" w:rsidRPr="00F8439F" w:rsidRDefault="00F8439F" w:rsidP="00F8439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alle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stawende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dokumente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stawing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0367FA14" w14:textId="77777777" w:rsidR="00F8439F" w:rsidRPr="00F8439F" w:rsidRDefault="00F8439F" w:rsidP="008169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nuwe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waarop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appelleer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wat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moontlik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wat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nuwe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teen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bedrag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gedisputeerde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aanslag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teen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beswaar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gemaak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uitmaak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46F174B5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Alternatiewe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dispuutoplossing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38171A5F" w14:textId="50653630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Met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wedersydse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ooreenkoms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wat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rig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poog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op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los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alternatiewe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dispuutoplossing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(ADR)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ingevolge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prosedure</w:t>
      </w:r>
      <w:r w:rsidR="00816920">
        <w:rPr>
          <w:rFonts w:eastAsia="Times New Roman" w:cstheme="minorHAnsi"/>
          <w:sz w:val="24"/>
          <w:szCs w:val="24"/>
          <w:lang w:eastAsia="en-ZA"/>
        </w:rPr>
        <w:t>s</w:t>
      </w:r>
      <w:proofErr w:type="spellEnd"/>
      <w:r w:rsidR="00816920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816920">
        <w:rPr>
          <w:rFonts w:eastAsia="Times New Roman" w:cstheme="minorHAnsi"/>
          <w:sz w:val="24"/>
          <w:szCs w:val="24"/>
          <w:lang w:eastAsia="en-ZA"/>
        </w:rPr>
        <w:t>soos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reëls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bepaal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Hierdie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prosedure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skep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struktuur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nodige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riglyne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waarin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dispute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opgelos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geskik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mag word. Die ADR-proses is minder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formeel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goedkoper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as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hofproses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dispute toe om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opgelos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in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baie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korter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tydperk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skep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koste-effektiewe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oplossing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belastingdispute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</w:p>
    <w:p w14:paraId="695B8773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op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kennisgewing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aandui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/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alternatiewe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dispuutoplossingproses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wil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gebruik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proses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beskikbaar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is.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bevind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geskik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ADR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sodanige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opgelos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hierdie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proses,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vervolgens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inlig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werksdae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ontvangs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sodanige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kennisgewing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inlig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welke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/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instem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die ADR-proses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634115F0" w14:textId="0CA002C3" w:rsidR="00816920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Sou die ADR-proses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beëindig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sonder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oplossing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20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sodanige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beëindiging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klerk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versoek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formele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verhoor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816920">
        <w:rPr>
          <w:rFonts w:eastAsia="Times New Roman" w:cstheme="minorHAnsi"/>
          <w:sz w:val="24"/>
          <w:szCs w:val="24"/>
          <w:lang w:eastAsia="en-ZA"/>
        </w:rPr>
        <w:t>voor</w:t>
      </w:r>
      <w:proofErr w:type="spellEnd"/>
      <w:r w:rsidR="00816920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816920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="00816920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="00816920">
        <w:rPr>
          <w:rFonts w:eastAsia="Times New Roman" w:cstheme="minorHAnsi"/>
          <w:sz w:val="24"/>
          <w:szCs w:val="24"/>
          <w:lang w:eastAsia="en-ZA"/>
        </w:rPr>
        <w:t>lê</w:t>
      </w:r>
      <w:proofErr w:type="spellEnd"/>
      <w:r w:rsidR="00816920">
        <w:rPr>
          <w:rFonts w:eastAsia="Times New Roman" w:cstheme="minorHAnsi"/>
          <w:sz w:val="24"/>
          <w:szCs w:val="24"/>
          <w:lang w:eastAsia="en-ZA"/>
        </w:rPr>
        <w:t xml:space="preserve">. </w:t>
      </w:r>
    </w:p>
    <w:p w14:paraId="743616D9" w14:textId="5685BA18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5A177300" w14:textId="014149A3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ingestel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ingevolge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Wet op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Belastingadministrasie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nr. 28 van 2011 (TAA),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bestaan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advokaat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prokureur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voorsitter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Sodanige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advokaat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prokureur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aangestel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paneel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geskikte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advokate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prokureurs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minister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finansies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konsultasie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regterpresident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toepaslike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provinsiale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afdeling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 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geadministreer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klerk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, wat 'n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beampte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by die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belastingkantoor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verantwoordelik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administrasie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daardie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area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tree as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sameroeper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op.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teen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aanslag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eers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gehoor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indien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-</w:t>
      </w:r>
    </w:p>
    <w:p w14:paraId="50A39DB1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onder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bedrag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oorskry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voorgeskryf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minister per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openbare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kennisgewing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- tans R1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miljoen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2FE56F36" w14:textId="77777777" w:rsidR="00F8439F" w:rsidRPr="00F8439F" w:rsidRDefault="00F8439F" w:rsidP="00F8439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'n Senior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beampte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so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ooreenstem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 die neem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sodanige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beampte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oorweeg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welke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wetlike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lastRenderedPageBreak/>
        <w:t>beginsels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ten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opsigte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eerder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gehoor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</w:p>
    <w:p w14:paraId="0FE83147" w14:textId="77777777" w:rsidR="00F8439F" w:rsidRPr="00F8439F" w:rsidRDefault="00F8439F" w:rsidP="008169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ADR-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prosesse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beëindig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belastingpligtige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het,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20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klerk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versoek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aangeleentheid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bring.</w:t>
      </w:r>
      <w:r w:rsidRPr="00F8439F">
        <w:rPr>
          <w:rFonts w:eastAsia="Times New Roman" w:cstheme="minorHAnsi"/>
          <w:sz w:val="24"/>
          <w:szCs w:val="24"/>
          <w:lang w:eastAsia="en-ZA"/>
        </w:rPr>
        <w:br/>
      </w:r>
    </w:p>
    <w:p w14:paraId="59B72F48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:</w:t>
      </w:r>
    </w:p>
    <w:p w14:paraId="639DC9BA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het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dieselfde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status as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hooggeregshof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maar is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tribunaal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geskep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wetgewing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met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slegs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magte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voorgeskryf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.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het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regsgebied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3750C5FA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Belastingappelle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gerig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ingevolge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artikel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107 van die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TAA;</w:t>
      </w:r>
      <w:proofErr w:type="gramEnd"/>
    </w:p>
    <w:p w14:paraId="30C7E6C1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Interlokus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aansoek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ten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opsigte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belastingappel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  <w:proofErr w:type="gramEnd"/>
    </w:p>
    <w:p w14:paraId="7FEC5945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Aansoek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prosessuele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aangeleentheid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verwant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ingevolge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hoofstuk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9 van die TAA,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soos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voorgeskryf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dispuutreels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</w:p>
    <w:p w14:paraId="2929A022" w14:textId="77777777" w:rsidR="00F8439F" w:rsidRPr="00F8439F" w:rsidRDefault="00F8439F" w:rsidP="00F8439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voorsitter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gedurende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verhoor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gegewe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gronde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wetlike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beginsels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ten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opsigte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bevind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eerder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as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aangehoor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moet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word.</w:t>
      </w:r>
    </w:p>
    <w:p w14:paraId="3CF0F9C4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bestaan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03AA9DA3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Regter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waarnemende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regter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hooggeregshof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wat die president is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regterpresident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in die area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waar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ingestel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genomineer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is;</w:t>
      </w:r>
      <w:proofErr w:type="gramEnd"/>
    </w:p>
    <w:p w14:paraId="436E29FE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Rekenkundige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gekies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paneel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wat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ingevolge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artikel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120 van die TAA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aangestel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is;</w:t>
      </w:r>
      <w:proofErr w:type="gramEnd"/>
    </w:p>
    <w:p w14:paraId="744DBC74" w14:textId="77777777" w:rsidR="00F8439F" w:rsidRPr="00F8439F" w:rsidRDefault="00F8439F" w:rsidP="00F8439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Verteenwoordiger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kommersiële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gemeenskap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gekies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paneel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lede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wat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ingevolge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artikel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120 van die TAA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aangestel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is.</w:t>
      </w:r>
    </w:p>
    <w:p w14:paraId="3130117B" w14:textId="77777777" w:rsidR="00BA1369" w:rsidRDefault="00BA1369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65439D68" w14:textId="48E26B02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Wat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ek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van SARS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verwag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wanneer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ek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rig?</w:t>
      </w:r>
    </w:p>
    <w:p w14:paraId="6DFA94F1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opgelos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word by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wyse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van:</w:t>
      </w:r>
    </w:p>
    <w:p w14:paraId="4130CC8C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Alternatiewe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dispuutoplossing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(ADR) op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SARS </w:t>
      </w:r>
      <w:proofErr w:type="spellStart"/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hoofkantoorvlak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  <w:proofErr w:type="gramEnd"/>
    </w:p>
    <w:p w14:paraId="0823FF63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geadministreer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op SARS-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takvlak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);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en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/of</w:t>
      </w:r>
    </w:p>
    <w:p w14:paraId="68093B59" w14:textId="77777777" w:rsidR="00F8439F" w:rsidRPr="00F8439F" w:rsidRDefault="00F8439F" w:rsidP="00F8439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belastinghof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(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geadministreer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op 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hoofkantoorvlak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).</w:t>
      </w:r>
    </w:p>
    <w:p w14:paraId="4536C2FD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poog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om:</w:t>
      </w:r>
    </w:p>
    <w:p w14:paraId="60E32ED6" w14:textId="77777777" w:rsidR="00F8439F" w:rsidRPr="00F8439F" w:rsidRDefault="00F8439F" w:rsidP="00F8439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oorweeg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saak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geskik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vir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ADR,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30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werksdae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vanaf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datum wat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versoek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ontvang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is.</w:t>
      </w:r>
    </w:p>
    <w:p w14:paraId="628FBD56" w14:textId="77777777" w:rsidR="00BA1369" w:rsidRDefault="00BA1369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0688BA29" w14:textId="1C1B68CA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lastRenderedPageBreak/>
        <w:t xml:space="preserve">Wat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kan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ek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verwag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wanneer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appèl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>afgehandel</w:t>
      </w:r>
      <w:proofErr w:type="spellEnd"/>
      <w:r w:rsidRPr="00F8439F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is?</w:t>
      </w:r>
    </w:p>
    <w:p w14:paraId="465A7862" w14:textId="77777777" w:rsidR="00F8439F" w:rsidRPr="00F8439F" w:rsidRDefault="00F8439F" w:rsidP="00F8439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br/>
        <w:t xml:space="preserve">SARS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poog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om:</w:t>
      </w:r>
    </w:p>
    <w:p w14:paraId="17C91801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ADR:</w:t>
      </w:r>
    </w:p>
    <w:p w14:paraId="18AA8E05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>Die ADR-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prosesse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90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werksdae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handel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tensy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anders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proofErr w:type="gramStart"/>
      <w:r w:rsidRPr="00F8439F">
        <w:rPr>
          <w:rFonts w:eastAsia="Times New Roman" w:cstheme="minorHAnsi"/>
          <w:sz w:val="24"/>
          <w:szCs w:val="24"/>
          <w:lang w:eastAsia="en-ZA"/>
        </w:rPr>
        <w:t>ooreengekom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;</w:t>
      </w:r>
      <w:proofErr w:type="gramEnd"/>
    </w:p>
    <w:p w14:paraId="62171D5F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Wanneer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ooreenkoms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of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skikking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voltrek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is,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aanslag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stel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werksdae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datum van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laaste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ondertekening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ooreenkoms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2BCEB143" w14:textId="77777777" w:rsidR="00F8439F" w:rsidRPr="00F8439F" w:rsidRDefault="00F8439F" w:rsidP="00F8439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:</w:t>
      </w:r>
    </w:p>
    <w:p w14:paraId="33731276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voorsitter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60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na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voltrekking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verhoor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6097F868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klerk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'n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kopie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lewer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partye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10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vanaf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ontvangs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412188D2" w14:textId="77777777" w:rsidR="00F8439F" w:rsidRPr="00F8439F" w:rsidRDefault="00F8439F" w:rsidP="00F8439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ZA"/>
        </w:rPr>
      </w:pPr>
      <w:r w:rsidRPr="00F8439F">
        <w:rPr>
          <w:rFonts w:eastAsia="Times New Roman" w:cstheme="minorHAnsi"/>
          <w:sz w:val="24"/>
          <w:szCs w:val="24"/>
          <w:lang w:eastAsia="en-ZA"/>
        </w:rPr>
        <w:t xml:space="preserve">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aanslag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reik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om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in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werking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te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stel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,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binne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45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dae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vanaf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ontvangs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van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besluit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deur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 xml:space="preserve"> die </w:t>
      </w:r>
      <w:proofErr w:type="spellStart"/>
      <w:r w:rsidRPr="00F8439F">
        <w:rPr>
          <w:rFonts w:eastAsia="Times New Roman" w:cstheme="minorHAnsi"/>
          <w:sz w:val="24"/>
          <w:szCs w:val="24"/>
          <w:lang w:eastAsia="en-ZA"/>
        </w:rPr>
        <w:t>belastingraad</w:t>
      </w:r>
      <w:proofErr w:type="spellEnd"/>
      <w:r w:rsidRPr="00F8439F">
        <w:rPr>
          <w:rFonts w:eastAsia="Times New Roman" w:cstheme="minorHAnsi"/>
          <w:sz w:val="24"/>
          <w:szCs w:val="24"/>
          <w:lang w:eastAsia="en-ZA"/>
        </w:rPr>
        <w:t>.</w:t>
      </w:r>
    </w:p>
    <w:p w14:paraId="27169176" w14:textId="77777777" w:rsidR="00905F25" w:rsidRDefault="00905F25"/>
    <w:sectPr w:rsidR="00905F2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F811" w14:textId="77777777" w:rsidR="00ED7F51" w:rsidRDefault="00ED7F51" w:rsidP="00ED7F51">
      <w:pPr>
        <w:spacing w:after="0" w:line="240" w:lineRule="auto"/>
      </w:pPr>
      <w:r>
        <w:separator/>
      </w:r>
    </w:p>
  </w:endnote>
  <w:endnote w:type="continuationSeparator" w:id="0">
    <w:p w14:paraId="45FDD8FF" w14:textId="77777777" w:rsidR="00ED7F51" w:rsidRDefault="00ED7F51" w:rsidP="00ED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5849" w14:textId="76F8DAB1" w:rsidR="00ED7F51" w:rsidRDefault="00ED7F51">
    <w:pPr>
      <w:pStyle w:val="Footer"/>
    </w:pPr>
    <w:r>
      <w:t>Translated on 25 November 2021</w:t>
    </w:r>
  </w:p>
  <w:p w14:paraId="587E5D6A" w14:textId="77777777" w:rsidR="00ED7F51" w:rsidRDefault="00ED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CC12" w14:textId="77777777" w:rsidR="00ED7F51" w:rsidRDefault="00ED7F51" w:rsidP="00ED7F51">
      <w:pPr>
        <w:spacing w:after="0" w:line="240" w:lineRule="auto"/>
      </w:pPr>
      <w:r>
        <w:separator/>
      </w:r>
    </w:p>
  </w:footnote>
  <w:footnote w:type="continuationSeparator" w:id="0">
    <w:p w14:paraId="5BBF1A90" w14:textId="77777777" w:rsidR="00ED7F51" w:rsidRDefault="00ED7F51" w:rsidP="00ED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142"/>
    <w:multiLevelType w:val="multilevel"/>
    <w:tmpl w:val="970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C70BB"/>
    <w:multiLevelType w:val="multilevel"/>
    <w:tmpl w:val="153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21CA4"/>
    <w:multiLevelType w:val="multilevel"/>
    <w:tmpl w:val="D14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34F"/>
    <w:multiLevelType w:val="multilevel"/>
    <w:tmpl w:val="F69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962BD"/>
    <w:multiLevelType w:val="multilevel"/>
    <w:tmpl w:val="4B0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06887"/>
    <w:multiLevelType w:val="multilevel"/>
    <w:tmpl w:val="830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947F1"/>
    <w:multiLevelType w:val="multilevel"/>
    <w:tmpl w:val="642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442A4"/>
    <w:multiLevelType w:val="multilevel"/>
    <w:tmpl w:val="B5B0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43822"/>
    <w:multiLevelType w:val="multilevel"/>
    <w:tmpl w:val="44E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54637"/>
    <w:multiLevelType w:val="multilevel"/>
    <w:tmpl w:val="CE9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C379B"/>
    <w:multiLevelType w:val="multilevel"/>
    <w:tmpl w:val="F93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94E91"/>
    <w:multiLevelType w:val="multilevel"/>
    <w:tmpl w:val="CD3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C60FC"/>
    <w:multiLevelType w:val="multilevel"/>
    <w:tmpl w:val="DB7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170BF"/>
    <w:multiLevelType w:val="multilevel"/>
    <w:tmpl w:val="37F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9F"/>
    <w:rsid w:val="004B7040"/>
    <w:rsid w:val="00816920"/>
    <w:rsid w:val="00905F25"/>
    <w:rsid w:val="009F46F4"/>
    <w:rsid w:val="00BA1369"/>
    <w:rsid w:val="00CC51B2"/>
    <w:rsid w:val="00D3704E"/>
    <w:rsid w:val="00ED7F51"/>
    <w:rsid w:val="00F8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3368"/>
  <w15:chartTrackingRefBased/>
  <w15:docId w15:val="{CD681E22-6A99-4A35-A14C-72F59446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51"/>
  </w:style>
  <w:style w:type="paragraph" w:styleId="Footer">
    <w:name w:val="footer"/>
    <w:basedOn w:val="Normal"/>
    <w:link w:val="FooterChar"/>
    <w:uiPriority w:val="99"/>
    <w:unhideWhenUsed/>
    <w:rsid w:val="00ED7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15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8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7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55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5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4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35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28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9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34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6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00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contact-us/make-an-appoint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s.gov.za/contact-us/make-an-appoint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Aletia Ollewagen</cp:lastModifiedBy>
  <cp:revision>2</cp:revision>
  <dcterms:created xsi:type="dcterms:W3CDTF">2021-11-25T14:02:00Z</dcterms:created>
  <dcterms:modified xsi:type="dcterms:W3CDTF">2021-11-25T14:02:00Z</dcterms:modified>
</cp:coreProperties>
</file>