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9D89" w14:textId="77777777" w:rsidR="007E63E1" w:rsidRPr="001F32E9" w:rsidRDefault="00976F84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  <w:r w:rsidRPr="001F32E9">
        <w:rPr>
          <w:noProof/>
          <w:lang w:val="en-GB"/>
        </w:rPr>
        <w:drawing>
          <wp:anchor distT="0" distB="0" distL="114300" distR="114300" simplePos="0" relativeHeight="251664896" behindDoc="1" locked="0" layoutInCell="1" allowOverlap="1" wp14:anchorId="30C74D93" wp14:editId="68F7D36C">
            <wp:simplePos x="0" y="0"/>
            <wp:positionH relativeFrom="column">
              <wp:posOffset>3238500</wp:posOffset>
            </wp:positionH>
            <wp:positionV relativeFrom="paragraph">
              <wp:posOffset>238125</wp:posOffset>
            </wp:positionV>
            <wp:extent cx="2779500" cy="612000"/>
            <wp:effectExtent l="0" t="0" r="0" b="0"/>
            <wp:wrapTight wrapText="bothSides">
              <wp:wrapPolygon edited="0">
                <wp:start x="296" y="0"/>
                <wp:lineTo x="296" y="2019"/>
                <wp:lineTo x="2517" y="12112"/>
                <wp:lineTo x="2813" y="18841"/>
                <wp:lineTo x="17618" y="18841"/>
                <wp:lineTo x="17766" y="17495"/>
                <wp:lineTo x="18654" y="12785"/>
                <wp:lineTo x="18654" y="2692"/>
                <wp:lineTo x="18506" y="0"/>
                <wp:lineTo x="296" y="0"/>
              </wp:wrapPolygon>
            </wp:wrapTight>
            <wp:docPr id="3" name="Picture 3" descr="SAR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S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3E1" w:rsidRPr="001F32E9"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0676B9F8" wp14:editId="13C9098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50515" cy="1043940"/>
            <wp:effectExtent l="0" t="0" r="6985" b="3810"/>
            <wp:wrapTight wrapText="bothSides">
              <wp:wrapPolygon edited="0">
                <wp:start x="0" y="0"/>
                <wp:lineTo x="0" y="21285"/>
                <wp:lineTo x="21509" y="21285"/>
                <wp:lineTo x="21509" y="0"/>
                <wp:lineTo x="0" y="0"/>
              </wp:wrapPolygon>
            </wp:wrapTight>
            <wp:docPr id="1" name="Picture 1" descr="Description: Description: cid:image004.png@01D117D3.23FD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4.png@01D117D3.23FD5B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8515C" w14:textId="77777777" w:rsidR="007E63E1" w:rsidRPr="001F32E9" w:rsidRDefault="007E63E1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</w:p>
    <w:p w14:paraId="6985FFED" w14:textId="77777777" w:rsidR="008D7A5D" w:rsidRPr="001F32E9" w:rsidRDefault="008D7A5D" w:rsidP="00270BE1">
      <w:pPr>
        <w:spacing w:beforeAutospacing="1" w:after="100" w:afterAutospacing="1" w:line="240" w:lineRule="auto"/>
        <w:rPr>
          <w:rFonts w:ascii="Arial" w:eastAsia="Times New Roman" w:hAnsi="Arial" w:cs="Arial"/>
          <w:b/>
          <w:lang w:val="en-GB" w:eastAsia="en-ZA"/>
        </w:rPr>
      </w:pPr>
    </w:p>
    <w:p w14:paraId="54B80834" w14:textId="77777777" w:rsidR="007E63E1" w:rsidRPr="001F32E9" w:rsidRDefault="007E63E1" w:rsidP="007E63E1">
      <w:pPr>
        <w:spacing w:after="240" w:line="240" w:lineRule="auto"/>
        <w:rPr>
          <w:noProof/>
          <w:lang w:val="en-GB" w:eastAsia="en-ZA"/>
        </w:rPr>
      </w:pPr>
    </w:p>
    <w:p w14:paraId="331F9C51" w14:textId="77777777" w:rsidR="007E63E1" w:rsidRPr="001F32E9" w:rsidRDefault="001F0BCD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JOINT </w:t>
      </w:r>
      <w:r w:rsidR="000A087A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MEDIA STATEMENT</w:t>
      </w:r>
    </w:p>
    <w:p w14:paraId="5EBC98B4" w14:textId="0963C6D8" w:rsidR="00296BEC" w:rsidRPr="001F32E9" w:rsidRDefault="007E63E1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NATIONAL TREASURY AND</w:t>
      </w:r>
      <w:r w:rsidR="00296BEC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 </w:t>
      </w: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THE SOUTH AFRICAN REVENUE SERVICE</w:t>
      </w:r>
    </w:p>
    <w:p w14:paraId="043B23F6" w14:textId="5C82FC53" w:rsidR="007E63E1" w:rsidRPr="001F32E9" w:rsidRDefault="00E33941" w:rsidP="001F32E9">
      <w:pPr>
        <w:pBdr>
          <w:top w:val="single" w:sz="4" w:space="1" w:color="auto"/>
          <w:bottom w:val="single" w:sz="4" w:space="1" w:color="auto"/>
        </w:pBdr>
        <w:spacing w:after="240" w:line="240" w:lineRule="auto"/>
        <w:ind w:left="-360"/>
        <w:jc w:val="center"/>
        <w:rPr>
          <w:rFonts w:ascii="Arial" w:eastAsia="Calibri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ON </w:t>
      </w:r>
      <w:r w:rsidR="00EF6BD8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THE </w:t>
      </w:r>
      <w:r w:rsidR="001F0BCD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RELEASE OF THE </w:t>
      </w:r>
      <w:r w:rsidR="006B1F25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16</w:t>
      </w:r>
      <w:r w:rsidR="006B1F25" w:rsidRPr="001F32E9">
        <w:rPr>
          <w:rFonts w:ascii="Arial" w:eastAsia="Calibri" w:hAnsi="Arial" w:cs="Arial"/>
          <w:b/>
          <w:bCs/>
          <w:sz w:val="24"/>
          <w:szCs w:val="24"/>
          <w:vertAlign w:val="superscript"/>
          <w:lang w:val="en-GB" w:eastAsia="en-ZA"/>
        </w:rPr>
        <w:t>TH</w:t>
      </w:r>
      <w:r w:rsidR="006B1F25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 </w:t>
      </w:r>
      <w:r w:rsidR="00296BEC"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 xml:space="preserve">ANNUAL </w:t>
      </w:r>
      <w:r w:rsidRPr="001F32E9">
        <w:rPr>
          <w:rFonts w:ascii="Arial" w:eastAsia="Calibri" w:hAnsi="Arial" w:cs="Arial"/>
          <w:b/>
          <w:bCs/>
          <w:sz w:val="24"/>
          <w:szCs w:val="24"/>
          <w:lang w:val="en-GB" w:eastAsia="en-ZA"/>
        </w:rPr>
        <w:t>EDITION OF TAX STATISTICS</w:t>
      </w:r>
    </w:p>
    <w:p w14:paraId="6BDF3D6D" w14:textId="69C6EBB6" w:rsidR="005D1D6C" w:rsidRPr="001F32E9" w:rsidRDefault="0003182E" w:rsidP="00BB1E0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PRETORIA, </w:t>
      </w:r>
      <w:r w:rsidR="00EC41C4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FRIDAY</w:t>
      </w:r>
      <w:r w:rsidR="0085462C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</w:t>
      </w:r>
      <w:r w:rsidR="00325980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29</w:t>
      </w:r>
      <w:r w:rsidR="0085462C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DECEMBER</w:t>
      </w:r>
      <w:r w:rsidR="006B1F25" w:rsidRPr="001F32E9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</w:t>
      </w:r>
      <w:r w:rsidR="00BA2132" w:rsidRPr="001F32E9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202</w:t>
      </w:r>
      <w:r w:rsidR="004B08FE" w:rsidRPr="001F32E9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3</w:t>
      </w:r>
    </w:p>
    <w:p w14:paraId="6E446D1D" w14:textId="77777777" w:rsidR="00BD11AC" w:rsidRPr="001F32E9" w:rsidRDefault="00BD11AC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37A3784" w14:textId="5F168966" w:rsidR="002822A4" w:rsidRPr="002B3E0B" w:rsidRDefault="007E63E1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>National Treasury and the South African Revenue Service</w:t>
      </w:r>
      <w:r w:rsidR="001F6F20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2B7D0C" w:rsidRPr="002B3E0B">
        <w:rPr>
          <w:rFonts w:ascii="Arial" w:hAnsi="Arial" w:cs="Arial"/>
          <w:sz w:val="24"/>
          <w:szCs w:val="24"/>
        </w:rPr>
        <w:t xml:space="preserve">(SARS) </w:t>
      </w:r>
      <w:r w:rsidR="008A2140" w:rsidRPr="002B3E0B">
        <w:rPr>
          <w:rFonts w:ascii="Arial" w:hAnsi="Arial" w:cs="Arial"/>
          <w:sz w:val="24"/>
          <w:szCs w:val="24"/>
          <w:lang w:val="en-GB"/>
        </w:rPr>
        <w:t xml:space="preserve">have 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jointly </w:t>
      </w:r>
      <w:r w:rsidR="008A2140" w:rsidRPr="002B3E0B">
        <w:rPr>
          <w:rFonts w:ascii="Arial" w:hAnsi="Arial" w:cs="Arial"/>
          <w:sz w:val="24"/>
          <w:szCs w:val="24"/>
          <w:lang w:val="en-GB"/>
        </w:rPr>
        <w:t xml:space="preserve">published </w:t>
      </w:r>
      <w:r w:rsidR="001F6F20" w:rsidRPr="002B3E0B">
        <w:rPr>
          <w:rFonts w:ascii="Arial" w:hAnsi="Arial" w:cs="Arial"/>
          <w:sz w:val="24"/>
          <w:szCs w:val="24"/>
          <w:lang w:val="en-GB"/>
        </w:rPr>
        <w:t>the</w:t>
      </w:r>
      <w:r w:rsidR="00DF7566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6B1F25" w:rsidRPr="002B3E0B">
        <w:rPr>
          <w:rFonts w:ascii="Arial" w:hAnsi="Arial" w:cs="Arial"/>
          <w:sz w:val="24"/>
          <w:szCs w:val="24"/>
          <w:lang w:val="en-GB"/>
        </w:rPr>
        <w:t>16</w:t>
      </w:r>
      <w:r w:rsidR="006B1F25" w:rsidRPr="002B3E0B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1F6F20" w:rsidRPr="002B3E0B">
        <w:rPr>
          <w:rFonts w:ascii="Arial" w:hAnsi="Arial" w:cs="Arial"/>
          <w:sz w:val="24"/>
          <w:szCs w:val="24"/>
          <w:lang w:val="en-GB"/>
        </w:rPr>
        <w:t xml:space="preserve">annual edition of the </w:t>
      </w:r>
      <w:r w:rsidR="001F6F20" w:rsidRPr="002B3E0B">
        <w:rPr>
          <w:rFonts w:ascii="Arial" w:hAnsi="Arial" w:cs="Arial"/>
          <w:iCs/>
          <w:sz w:val="24"/>
          <w:szCs w:val="24"/>
          <w:lang w:val="en-GB"/>
        </w:rPr>
        <w:t xml:space="preserve">Tax </w:t>
      </w:r>
      <w:r w:rsidR="007E6EC0" w:rsidRPr="002B3E0B">
        <w:rPr>
          <w:rFonts w:ascii="Arial" w:hAnsi="Arial" w:cs="Arial"/>
          <w:iCs/>
          <w:sz w:val="24"/>
          <w:szCs w:val="24"/>
          <w:lang w:val="en-GB"/>
        </w:rPr>
        <w:t>Statistics</w:t>
      </w:r>
      <w:r w:rsidR="007E6EC0" w:rsidRPr="002B3E0B">
        <w:rPr>
          <w:rFonts w:ascii="Arial" w:hAnsi="Arial" w:cs="Arial"/>
          <w:sz w:val="24"/>
          <w:szCs w:val="24"/>
          <w:lang w:val="en-GB"/>
        </w:rPr>
        <w:t>.</w:t>
      </w:r>
      <w:r w:rsidR="00B729A3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The 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2023 </w:t>
      </w:r>
      <w:r w:rsidR="00AA13F6" w:rsidRPr="002B3E0B">
        <w:rPr>
          <w:rFonts w:ascii="Arial" w:hAnsi="Arial" w:cs="Arial"/>
          <w:sz w:val="24"/>
          <w:szCs w:val="24"/>
          <w:lang w:val="en-GB"/>
        </w:rPr>
        <w:t>edition provides an overview of tax</w:t>
      </w:r>
      <w:r w:rsidR="001F32E9" w:rsidRPr="002B3E0B">
        <w:rPr>
          <w:rFonts w:ascii="Arial" w:hAnsi="Arial" w:cs="Arial"/>
          <w:sz w:val="24"/>
          <w:szCs w:val="24"/>
          <w:lang w:val="en-GB"/>
        </w:rPr>
        <w:t>-</w:t>
      </w:r>
      <w:r w:rsidR="00AA13F6" w:rsidRPr="002B3E0B">
        <w:rPr>
          <w:rFonts w:ascii="Arial" w:hAnsi="Arial" w:cs="Arial"/>
          <w:sz w:val="24"/>
          <w:szCs w:val="24"/>
          <w:lang w:val="en-GB"/>
        </w:rPr>
        <w:t>revenue collection and tax</w:t>
      </w:r>
      <w:r w:rsidR="001F32E9" w:rsidRPr="002B3E0B">
        <w:rPr>
          <w:rFonts w:ascii="Arial" w:hAnsi="Arial" w:cs="Arial"/>
          <w:sz w:val="24"/>
          <w:szCs w:val="24"/>
          <w:lang w:val="en-GB"/>
        </w:rPr>
        <w:t>-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return information for the 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2019 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to 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2023 </w:t>
      </w:r>
      <w:r w:rsidR="00AA13F6" w:rsidRPr="002B3E0B">
        <w:rPr>
          <w:rFonts w:ascii="Arial" w:hAnsi="Arial" w:cs="Arial"/>
          <w:sz w:val="24"/>
          <w:szCs w:val="24"/>
          <w:lang w:val="en-GB"/>
        </w:rPr>
        <w:t>tax years</w:t>
      </w:r>
      <w:r w:rsidRPr="002B3E0B">
        <w:rPr>
          <w:rFonts w:ascii="Arial" w:hAnsi="Arial" w:cs="Arial"/>
          <w:sz w:val="24"/>
          <w:szCs w:val="24"/>
          <w:lang w:val="en-GB"/>
        </w:rPr>
        <w:t>,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 as well as</w:t>
      </w:r>
      <w:r w:rsidR="00C03DE5" w:rsidRPr="002B3E0B">
        <w:rPr>
          <w:rFonts w:ascii="Arial" w:hAnsi="Arial" w:cs="Arial"/>
          <w:sz w:val="24"/>
          <w:szCs w:val="24"/>
          <w:lang w:val="en-GB"/>
        </w:rPr>
        <w:t xml:space="preserve"> for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 the </w:t>
      </w:r>
      <w:r w:rsidR="006B1F25" w:rsidRPr="002B3E0B">
        <w:rPr>
          <w:rFonts w:ascii="Arial" w:hAnsi="Arial" w:cs="Arial"/>
          <w:sz w:val="24"/>
          <w:szCs w:val="24"/>
          <w:lang w:val="en-GB"/>
        </w:rPr>
        <w:t>2018</w:t>
      </w:r>
      <w:r w:rsidR="00AA13F6" w:rsidRPr="002B3E0B">
        <w:rPr>
          <w:rFonts w:ascii="Arial" w:hAnsi="Arial" w:cs="Arial"/>
          <w:sz w:val="24"/>
          <w:szCs w:val="24"/>
          <w:lang w:val="en-GB"/>
        </w:rPr>
        <w:t>/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19 </w:t>
      </w:r>
      <w:r w:rsidR="00AA13F6" w:rsidRPr="002B3E0B">
        <w:rPr>
          <w:rFonts w:ascii="Arial" w:hAnsi="Arial" w:cs="Arial"/>
          <w:sz w:val="24"/>
          <w:szCs w:val="24"/>
          <w:lang w:val="en-GB"/>
        </w:rPr>
        <w:t xml:space="preserve">to </w:t>
      </w:r>
      <w:r w:rsidR="006B1F25" w:rsidRPr="002B3E0B">
        <w:rPr>
          <w:rFonts w:ascii="Arial" w:hAnsi="Arial" w:cs="Arial"/>
          <w:sz w:val="24"/>
          <w:szCs w:val="24"/>
          <w:lang w:val="en-GB"/>
        </w:rPr>
        <w:t>2022</w:t>
      </w:r>
      <w:r w:rsidR="00AA13F6" w:rsidRPr="002B3E0B">
        <w:rPr>
          <w:rFonts w:ascii="Arial" w:hAnsi="Arial" w:cs="Arial"/>
          <w:sz w:val="24"/>
          <w:szCs w:val="24"/>
          <w:lang w:val="en-GB"/>
        </w:rPr>
        <w:t>/</w:t>
      </w:r>
      <w:r w:rsidR="006B1F25" w:rsidRPr="002B3E0B">
        <w:rPr>
          <w:rFonts w:ascii="Arial" w:hAnsi="Arial" w:cs="Arial"/>
          <w:sz w:val="24"/>
          <w:szCs w:val="24"/>
          <w:lang w:val="en-GB"/>
        </w:rPr>
        <w:t xml:space="preserve">23 </w:t>
      </w:r>
      <w:r w:rsidR="00AA13F6" w:rsidRPr="002B3E0B">
        <w:rPr>
          <w:rFonts w:ascii="Arial" w:hAnsi="Arial" w:cs="Arial"/>
          <w:sz w:val="24"/>
          <w:szCs w:val="24"/>
          <w:lang w:val="en-GB"/>
        </w:rPr>
        <w:t>fiscal year</w:t>
      </w:r>
      <w:r w:rsidR="00240111" w:rsidRPr="002B3E0B">
        <w:rPr>
          <w:rFonts w:ascii="Arial" w:hAnsi="Arial" w:cs="Arial"/>
          <w:sz w:val="24"/>
          <w:szCs w:val="24"/>
          <w:lang w:val="en-GB"/>
        </w:rPr>
        <w:t>s</w:t>
      </w:r>
      <w:r w:rsidR="0003182E" w:rsidRPr="002B3E0B">
        <w:rPr>
          <w:rFonts w:ascii="Arial" w:hAnsi="Arial" w:cs="Arial"/>
          <w:sz w:val="24"/>
          <w:szCs w:val="24"/>
          <w:lang w:val="en-GB"/>
        </w:rPr>
        <w:t>.</w:t>
      </w:r>
    </w:p>
    <w:p w14:paraId="02B07E3A" w14:textId="77777777" w:rsidR="00335AFB" w:rsidRPr="002B3E0B" w:rsidRDefault="00335AF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</w:p>
    <w:p w14:paraId="5DB2247F" w14:textId="3E0942FB" w:rsidR="002C3E99" w:rsidRPr="002B3E0B" w:rsidRDefault="002B7D0C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The mandate of SARS </w:t>
      </w:r>
      <w:r w:rsidR="002C3E99" w:rsidRPr="002B3E0B">
        <w:rPr>
          <w:rFonts w:ascii="Arial" w:hAnsi="Arial" w:cs="Arial"/>
          <w:sz w:val="24"/>
          <w:szCs w:val="24"/>
          <w:lang w:val="en-GB"/>
        </w:rPr>
        <w:t>is to collect all tax revenue due by ensuring optimal compliance with tax and customs legislation. In the 2022/23 fiscal year, SARS collected R2.07</w:t>
      </w:r>
      <w:r w:rsidR="007E1A10" w:rsidRPr="002B3E0B">
        <w:rPr>
          <w:rFonts w:ascii="Arial" w:hAnsi="Arial" w:cs="Arial"/>
          <w:sz w:val="24"/>
          <w:szCs w:val="24"/>
          <w:lang w:val="en-GB"/>
        </w:rPr>
        <w:t> </w:t>
      </w:r>
      <w:r w:rsidR="002C3E99" w:rsidRPr="002B3E0B">
        <w:rPr>
          <w:rFonts w:ascii="Arial" w:hAnsi="Arial" w:cs="Arial"/>
          <w:sz w:val="24"/>
          <w:szCs w:val="24"/>
          <w:lang w:val="en-GB"/>
        </w:rPr>
        <w:t>trillion in gross tax revenue (R183 billion or 9.7% more than in the prior year), refunded taxes worth R381 billion (R60 billion or 18.7% more than in the prior year), and netted tax revenue amounting to R1.69 trillion (R123 billion or 7.8% more than in the preceding year).</w:t>
      </w:r>
    </w:p>
    <w:p w14:paraId="11EF2598" w14:textId="77777777" w:rsidR="002C3E99" w:rsidRPr="002B3E0B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2EF322" w14:textId="798BC83E" w:rsidR="002C3E99" w:rsidRPr="002B3E0B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A broad recovery in tax bases and higher-than-average commodity prices supported the growth in tax revenues. However, there were several risks impacting on tax revenue collections for the 2022/23 fiscal year, which included the prolonged effects of </w:t>
      </w:r>
      <w:r w:rsidR="002B7D0C" w:rsidRPr="002B3E0B">
        <w:rPr>
          <w:rFonts w:ascii="Arial" w:hAnsi="Arial" w:cs="Arial"/>
          <w:sz w:val="24"/>
          <w:szCs w:val="24"/>
          <w:lang w:val="en-GB"/>
        </w:rPr>
        <w:t xml:space="preserve">global </w:t>
      </w:r>
      <w:r w:rsidRPr="002B3E0B">
        <w:rPr>
          <w:rFonts w:ascii="Arial" w:hAnsi="Arial" w:cs="Arial"/>
          <w:sz w:val="24"/>
          <w:szCs w:val="24"/>
          <w:lang w:val="en-GB"/>
        </w:rPr>
        <w:t>geo-political tensions, energy supply risks, constrained logistics networks, labour and social unrest, as well as weaker global and domestic economic growth and heightened inflation risks.</w:t>
      </w:r>
    </w:p>
    <w:p w14:paraId="1DBEBE45" w14:textId="77777777" w:rsidR="002C3E99" w:rsidRPr="002B3E0B" w:rsidRDefault="002C3E99" w:rsidP="002C3E9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7E71E2F" w14:textId="4A3C8AE4" w:rsidR="00335AFB" w:rsidRPr="002B3E0B" w:rsidRDefault="002C3E99" w:rsidP="00D33D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Compliance revenue secured from focused activities and efforts by SARS yielded R231.8 billion for the 2022/23 fiscal year, R16 billion or 7.5% more than in the </w:t>
      </w:r>
      <w:r w:rsidRPr="002B3E0B">
        <w:rPr>
          <w:rFonts w:ascii="Arial" w:hAnsi="Arial" w:cs="Arial"/>
          <w:sz w:val="24"/>
          <w:szCs w:val="24"/>
          <w:lang w:val="en-GB"/>
        </w:rPr>
        <w:lastRenderedPageBreak/>
        <w:t>preceding year. The total value of trade facilitated by SARS for the 2022/23 fiscal year was R3.9 trillion, R0.6 billion or 18.4% increase since the previous yea</w:t>
      </w:r>
      <w:r w:rsidR="002B7D0C" w:rsidRPr="002B3E0B">
        <w:rPr>
          <w:rFonts w:ascii="Arial" w:hAnsi="Arial" w:cs="Arial"/>
          <w:sz w:val="24"/>
          <w:szCs w:val="24"/>
          <w:lang w:val="en-GB"/>
        </w:rPr>
        <w:t>r.</w:t>
      </w:r>
      <w:r w:rsidR="004B3A0F" w:rsidRPr="002B3E0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87DC3E0" w14:textId="77777777" w:rsidR="00335AFB" w:rsidRPr="002B3E0B" w:rsidRDefault="00335AF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BD027D7" w14:textId="3502B3D6" w:rsidR="00472031" w:rsidRPr="002B3E0B" w:rsidRDefault="001C4F7B" w:rsidP="00BB1E0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Key</w:t>
      </w:r>
      <w:r w:rsidR="00472031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figures </w:t>
      </w:r>
      <w:r w:rsidR="00472031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in the </w:t>
      </w:r>
      <w:r w:rsidR="006B1F25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2023 </w:t>
      </w:r>
      <w:r w:rsidR="002B7D0C" w:rsidRPr="002B3E0B">
        <w:rPr>
          <w:rFonts w:ascii="Arial" w:eastAsiaTheme="minorEastAsia" w:hAnsi="Arial" w:cs="Arial"/>
          <w:sz w:val="24"/>
          <w:szCs w:val="24"/>
          <w:lang w:val="en-GB"/>
        </w:rPr>
        <w:t>T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ax </w:t>
      </w:r>
      <w:r w:rsidR="002B7D0C" w:rsidRPr="002B3E0B">
        <w:rPr>
          <w:rFonts w:ascii="Arial" w:eastAsiaTheme="minorEastAsia" w:hAnsi="Arial" w:cs="Arial"/>
          <w:sz w:val="24"/>
          <w:szCs w:val="24"/>
          <w:lang w:val="en-GB"/>
        </w:rPr>
        <w:t>S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>tatistics</w:t>
      </w:r>
      <w:r w:rsidR="00472031" w:rsidRPr="002B3E0B">
        <w:rPr>
          <w:rFonts w:ascii="Arial" w:eastAsiaTheme="minorEastAsia" w:hAnsi="Arial" w:cs="Arial"/>
          <w:sz w:val="24"/>
          <w:szCs w:val="24"/>
          <w:lang w:val="en-GB"/>
        </w:rPr>
        <w:t>:</w:t>
      </w:r>
    </w:p>
    <w:p w14:paraId="5B95372C" w14:textId="4A2437AC" w:rsidR="001D2FD2" w:rsidRPr="002B3E0B" w:rsidRDefault="003171F7" w:rsidP="004B3A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Chapter 1 of the bulletin shows that 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the 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Total tax revenue collected by SARS increased from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>R1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>287.7 billion in 2018/19 to R1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>686.7 billion in 2022/23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>, growing at a compound</w:t>
      </w:r>
      <w:r w:rsidR="00F02EC5" w:rsidRPr="002B3E0B">
        <w:rPr>
          <w:rFonts w:ascii="Arial" w:eastAsiaTheme="minorEastAsia" w:hAnsi="Arial" w:cs="Arial"/>
          <w:sz w:val="24"/>
          <w:szCs w:val="24"/>
          <w:lang w:val="en-GB"/>
        </w:rPr>
        <w:t>ed</w:t>
      </w:r>
      <w:r w:rsidR="00CB269A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 annual 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growth rate </w:t>
      </w:r>
      <w:r w:rsidR="00B769B5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(CAGR) 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of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7.0% 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over this period. This is lower than the </w:t>
      </w:r>
      <w:r w:rsidR="00AD5706" w:rsidRPr="002B3E0B">
        <w:rPr>
          <w:rFonts w:ascii="Arial" w:eastAsiaTheme="minorEastAsia" w:hAnsi="Arial" w:cs="Arial"/>
          <w:sz w:val="24"/>
          <w:szCs w:val="24"/>
          <w:lang w:val="en-GB"/>
        </w:rPr>
        <w:t>rate</w:t>
      </w:r>
      <w:r w:rsidR="001D2FD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 of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7.4% attained </w:t>
      </w:r>
      <w:r w:rsidR="00F02EC5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for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the period </w:t>
      </w:r>
      <w:r w:rsidR="00F02EC5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between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2013/14 </w:t>
      </w:r>
      <w:r w:rsidR="00F02EC5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and </w:t>
      </w:r>
      <w:r w:rsidR="003816E2" w:rsidRPr="002B3E0B">
        <w:rPr>
          <w:rFonts w:ascii="Arial" w:eastAsiaTheme="minorEastAsia" w:hAnsi="Arial" w:cs="Arial"/>
          <w:sz w:val="24"/>
          <w:szCs w:val="24"/>
          <w:lang w:val="en-GB"/>
        </w:rPr>
        <w:t>2018/19</w:t>
      </w:r>
      <w:r w:rsidR="004B3A0F" w:rsidRPr="002B3E0B">
        <w:rPr>
          <w:rFonts w:ascii="Arial" w:eastAsiaTheme="minorEastAsia" w:hAnsi="Arial" w:cs="Arial"/>
          <w:sz w:val="24"/>
          <w:szCs w:val="24"/>
          <w:lang w:val="en-GB"/>
        </w:rPr>
        <w:t>.</w:t>
      </w:r>
    </w:p>
    <w:p w14:paraId="06728B8C" w14:textId="7A386D53" w:rsidR="00141BBA" w:rsidRPr="002B3E0B" w:rsidRDefault="00F02EC5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>In aggregate, t</w:t>
      </w:r>
      <w:r w:rsidR="00910257" w:rsidRPr="002B3E0B">
        <w:rPr>
          <w:rFonts w:ascii="Arial" w:hAnsi="Arial" w:cs="Arial"/>
          <w:sz w:val="24"/>
          <w:szCs w:val="24"/>
          <w:lang w:val="en-GB"/>
        </w:rPr>
        <w:t xml:space="preserve">he largest sources of tax revenue remain </w:t>
      </w:r>
      <w:r w:rsidR="00141BBA" w:rsidRPr="002B3E0B">
        <w:rPr>
          <w:rFonts w:ascii="Arial" w:hAnsi="Arial" w:cs="Arial"/>
          <w:sz w:val="24"/>
          <w:szCs w:val="24"/>
          <w:lang w:val="en-GB"/>
        </w:rPr>
        <w:t>Personal Income Tax (PIT)</w:t>
      </w:r>
      <w:r w:rsidR="00F538D5" w:rsidRPr="002B3E0B">
        <w:rPr>
          <w:rFonts w:ascii="Arial" w:hAnsi="Arial" w:cs="Arial"/>
          <w:sz w:val="24"/>
          <w:szCs w:val="24"/>
          <w:lang w:val="en-GB"/>
        </w:rPr>
        <w:t xml:space="preserve"> at </w:t>
      </w:r>
      <w:r w:rsidR="007D083B" w:rsidRPr="002B3E0B">
        <w:rPr>
          <w:rFonts w:ascii="Arial" w:hAnsi="Arial" w:cs="Arial"/>
          <w:sz w:val="24"/>
          <w:szCs w:val="24"/>
          <w:lang w:val="en-GB"/>
        </w:rPr>
        <w:t>35.7%</w:t>
      </w:r>
      <w:r w:rsidR="00141BBA" w:rsidRPr="002B3E0B">
        <w:rPr>
          <w:rFonts w:ascii="Arial" w:hAnsi="Arial" w:cs="Arial"/>
          <w:sz w:val="24"/>
          <w:szCs w:val="24"/>
          <w:lang w:val="en-GB"/>
        </w:rPr>
        <w:t xml:space="preserve">, </w:t>
      </w:r>
      <w:r w:rsidR="008136FF" w:rsidRPr="002B3E0B">
        <w:rPr>
          <w:rFonts w:ascii="Arial" w:hAnsi="Arial" w:cs="Arial"/>
          <w:sz w:val="24"/>
          <w:szCs w:val="24"/>
          <w:lang w:val="en-GB"/>
        </w:rPr>
        <w:t xml:space="preserve">Value-added Tax (VAT) at </w:t>
      </w:r>
      <w:r w:rsidR="003816E2" w:rsidRPr="002B3E0B">
        <w:rPr>
          <w:rFonts w:ascii="Arial" w:hAnsi="Arial" w:cs="Arial"/>
          <w:sz w:val="24"/>
          <w:szCs w:val="24"/>
          <w:lang w:val="en-GB"/>
        </w:rPr>
        <w:t>25.0%</w:t>
      </w:r>
      <w:r w:rsidR="00F538D5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141BBA" w:rsidRPr="002B3E0B">
        <w:rPr>
          <w:rFonts w:ascii="Arial" w:hAnsi="Arial" w:cs="Arial"/>
          <w:sz w:val="24"/>
          <w:szCs w:val="24"/>
          <w:lang w:val="en-GB"/>
        </w:rPr>
        <w:t xml:space="preserve">and </w:t>
      </w:r>
      <w:r w:rsidR="008136FF" w:rsidRPr="002B3E0B">
        <w:rPr>
          <w:rFonts w:ascii="Arial" w:hAnsi="Arial" w:cs="Arial"/>
          <w:sz w:val="24"/>
          <w:szCs w:val="24"/>
          <w:lang w:val="en-GB"/>
        </w:rPr>
        <w:t xml:space="preserve">Corporate Income Tax (CIT) at </w:t>
      </w:r>
      <w:r w:rsidR="007D083B" w:rsidRPr="002B3E0B">
        <w:rPr>
          <w:rFonts w:ascii="Arial" w:hAnsi="Arial" w:cs="Arial"/>
          <w:sz w:val="24"/>
          <w:szCs w:val="24"/>
          <w:lang w:val="en-GB"/>
        </w:rPr>
        <w:t>20.6%</w:t>
      </w:r>
      <w:r w:rsidRPr="002B3E0B">
        <w:rPr>
          <w:rFonts w:ascii="Arial" w:hAnsi="Arial" w:cs="Arial"/>
          <w:sz w:val="24"/>
          <w:szCs w:val="24"/>
          <w:lang w:val="en-GB"/>
        </w:rPr>
        <w:t>.</w:t>
      </w:r>
      <w:r w:rsidR="00EE5C0F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910257" w:rsidRPr="002B3E0B">
        <w:rPr>
          <w:rFonts w:ascii="Arial" w:hAnsi="Arial" w:cs="Arial"/>
          <w:sz w:val="24"/>
          <w:szCs w:val="24"/>
          <w:lang w:val="en-GB"/>
        </w:rPr>
        <w:t xml:space="preserve">These revenue sources </w:t>
      </w:r>
      <w:r w:rsidRPr="002B3E0B">
        <w:rPr>
          <w:rFonts w:ascii="Arial" w:hAnsi="Arial" w:cs="Arial"/>
          <w:sz w:val="24"/>
          <w:szCs w:val="24"/>
          <w:lang w:val="en-GB"/>
        </w:rPr>
        <w:t>comprised</w:t>
      </w:r>
      <w:r w:rsidRPr="002B3E0B" w:rsidDel="00F02EC5">
        <w:rPr>
          <w:rFonts w:ascii="Arial" w:hAnsi="Arial" w:cs="Arial"/>
          <w:sz w:val="24"/>
          <w:szCs w:val="24"/>
          <w:lang w:val="en-GB"/>
        </w:rPr>
        <w:t xml:space="preserve"> </w:t>
      </w:r>
      <w:r w:rsidR="008136FF" w:rsidRPr="002B3E0B">
        <w:rPr>
          <w:rFonts w:ascii="Arial" w:hAnsi="Arial" w:cs="Arial"/>
          <w:sz w:val="24"/>
          <w:szCs w:val="24"/>
          <w:lang w:val="en-GB"/>
        </w:rPr>
        <w:t>81.</w:t>
      </w:r>
      <w:r w:rsidR="007D083B" w:rsidRPr="002B3E0B">
        <w:rPr>
          <w:rFonts w:ascii="Arial" w:hAnsi="Arial" w:cs="Arial"/>
          <w:sz w:val="24"/>
          <w:szCs w:val="24"/>
          <w:lang w:val="en-GB"/>
        </w:rPr>
        <w:t>3</w:t>
      </w:r>
      <w:r w:rsidR="008136FF" w:rsidRPr="002B3E0B">
        <w:rPr>
          <w:rFonts w:ascii="Arial" w:hAnsi="Arial" w:cs="Arial"/>
          <w:sz w:val="24"/>
          <w:szCs w:val="24"/>
          <w:lang w:val="en-GB"/>
        </w:rPr>
        <w:t>%</w:t>
      </w:r>
      <w:r w:rsidR="00141BBA" w:rsidRPr="002B3E0B">
        <w:rPr>
          <w:rFonts w:ascii="Arial" w:hAnsi="Arial" w:cs="Arial"/>
          <w:sz w:val="24"/>
          <w:szCs w:val="24"/>
          <w:lang w:val="en-GB"/>
        </w:rPr>
        <w:t xml:space="preserve"> of total tax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141BBA" w:rsidRPr="002B3E0B">
        <w:rPr>
          <w:rFonts w:ascii="Arial" w:hAnsi="Arial" w:cs="Arial"/>
          <w:sz w:val="24"/>
          <w:szCs w:val="24"/>
          <w:lang w:val="en-GB"/>
        </w:rPr>
        <w:t>revenue collect</w:t>
      </w:r>
      <w:r w:rsidRPr="002B3E0B">
        <w:rPr>
          <w:rFonts w:ascii="Arial" w:hAnsi="Arial" w:cs="Arial"/>
          <w:sz w:val="24"/>
          <w:szCs w:val="24"/>
          <w:lang w:val="en-GB"/>
        </w:rPr>
        <w:t>ed</w:t>
      </w:r>
      <w:r w:rsidR="00141BBA" w:rsidRPr="002B3E0B">
        <w:rPr>
          <w:rFonts w:ascii="Arial" w:eastAsiaTheme="minorEastAsia" w:hAnsi="Arial" w:cs="Arial"/>
          <w:sz w:val="24"/>
          <w:szCs w:val="24"/>
          <w:lang w:val="en-GB"/>
        </w:rPr>
        <w:t>.</w:t>
      </w:r>
      <w:r w:rsidR="007D083B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 The fuel levy, together with specific excise and customs duties, accounted for 12.4%, whilst other taxes </w:t>
      </w:r>
      <w:r w:rsidRPr="006C4594">
        <w:rPr>
          <w:rFonts w:ascii="Arial" w:eastAsiaTheme="minorEastAsia" w:hAnsi="Arial" w:cs="Arial"/>
          <w:sz w:val="24"/>
          <w:szCs w:val="24"/>
          <w:lang w:val="en-GB"/>
        </w:rPr>
        <w:t>made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 </w:t>
      </w:r>
      <w:r w:rsidR="007D083B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up the </w:t>
      </w:r>
      <w:r w:rsidR="00910257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remaining </w:t>
      </w:r>
      <w:r w:rsidRPr="002B3E0B">
        <w:rPr>
          <w:rFonts w:ascii="Arial" w:eastAsiaTheme="minorEastAsia" w:hAnsi="Arial" w:cs="Arial"/>
          <w:sz w:val="24"/>
          <w:szCs w:val="24"/>
        </w:rPr>
        <w:t xml:space="preserve">share of </w:t>
      </w:r>
      <w:r w:rsidR="007D083B" w:rsidRPr="002B3E0B">
        <w:rPr>
          <w:rFonts w:ascii="Arial" w:eastAsiaTheme="minorEastAsia" w:hAnsi="Arial" w:cs="Arial"/>
          <w:sz w:val="24"/>
          <w:szCs w:val="24"/>
          <w:lang w:val="en-GB"/>
        </w:rPr>
        <w:t>6.</w:t>
      </w:r>
      <w:r w:rsidR="002409C0" w:rsidRPr="002B3E0B">
        <w:rPr>
          <w:rFonts w:ascii="Arial" w:eastAsiaTheme="minorEastAsia" w:hAnsi="Arial" w:cs="Arial"/>
          <w:sz w:val="24"/>
          <w:szCs w:val="24"/>
          <w:lang w:val="en-GB"/>
        </w:rPr>
        <w:t>2</w:t>
      </w:r>
      <w:r w:rsidR="007D083B" w:rsidRPr="002B3E0B">
        <w:rPr>
          <w:rFonts w:ascii="Arial" w:eastAsiaTheme="minorEastAsia" w:hAnsi="Arial" w:cs="Arial"/>
          <w:sz w:val="24"/>
          <w:szCs w:val="24"/>
          <w:lang w:val="en-GB"/>
        </w:rPr>
        <w:t>%.</w:t>
      </w:r>
    </w:p>
    <w:p w14:paraId="7360374C" w14:textId="45811C56" w:rsidR="009D65EE" w:rsidRPr="002B3E0B" w:rsidRDefault="00CB269A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The tax-to-GDP ratio </w:t>
      </w:r>
      <w:r w:rsidR="003816E2" w:rsidRPr="002B3E0B">
        <w:rPr>
          <w:rFonts w:ascii="Arial" w:hAnsi="Arial" w:cs="Arial"/>
          <w:sz w:val="24"/>
          <w:szCs w:val="24"/>
          <w:lang w:val="en-GB"/>
        </w:rPr>
        <w:t>increase</w:t>
      </w:r>
      <w:r w:rsidR="00097670" w:rsidRPr="002B3E0B">
        <w:rPr>
          <w:rFonts w:ascii="Arial" w:hAnsi="Arial" w:cs="Arial"/>
          <w:sz w:val="24"/>
          <w:szCs w:val="24"/>
          <w:lang w:val="en-GB"/>
        </w:rPr>
        <w:t>d</w:t>
      </w:r>
      <w:r w:rsidR="003816E2" w:rsidRPr="002B3E0B">
        <w:rPr>
          <w:rFonts w:ascii="Arial" w:hAnsi="Arial" w:cs="Arial"/>
          <w:sz w:val="24"/>
          <w:szCs w:val="24"/>
          <w:lang w:val="en-GB"/>
        </w:rPr>
        <w:t xml:space="preserve"> from 23.7% in 2018/19 to 25.1% in 2022/23, the highest ratio attained since 1994/95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. </w:t>
      </w:r>
      <w:r w:rsidR="009B1FB0" w:rsidRPr="002B3E0B">
        <w:rPr>
          <w:rFonts w:ascii="Arial" w:hAnsi="Arial" w:cs="Arial"/>
          <w:sz w:val="24"/>
          <w:szCs w:val="24"/>
          <w:lang w:val="en-GB"/>
        </w:rPr>
        <w:t>P</w:t>
      </w:r>
      <w:r w:rsidR="003816E2" w:rsidRPr="002B3E0B">
        <w:rPr>
          <w:rFonts w:ascii="Arial" w:hAnsi="Arial" w:cs="Arial"/>
          <w:sz w:val="24"/>
          <w:szCs w:val="24"/>
          <w:lang w:val="en-GB"/>
        </w:rPr>
        <w:t>ost</w:t>
      </w:r>
      <w:r w:rsidR="009B1FB0" w:rsidRPr="002B3E0B">
        <w:rPr>
          <w:rFonts w:ascii="Arial" w:hAnsi="Arial" w:cs="Arial"/>
          <w:sz w:val="24"/>
          <w:szCs w:val="24"/>
          <w:lang w:val="en-GB"/>
        </w:rPr>
        <w:t>-</w:t>
      </w:r>
      <w:r w:rsidR="003816E2" w:rsidRPr="002B3E0B">
        <w:rPr>
          <w:rFonts w:ascii="Arial" w:hAnsi="Arial" w:cs="Arial"/>
          <w:sz w:val="24"/>
          <w:szCs w:val="24"/>
          <w:lang w:val="en-GB"/>
        </w:rPr>
        <w:t xml:space="preserve">COVID-19 </w:t>
      </w:r>
      <w:r w:rsidR="00F02EC5" w:rsidRPr="002B3E0B">
        <w:rPr>
          <w:rFonts w:ascii="Arial" w:hAnsi="Arial" w:cs="Arial"/>
          <w:sz w:val="24"/>
          <w:szCs w:val="24"/>
          <w:lang w:val="en-GB"/>
        </w:rPr>
        <w:t xml:space="preserve">economic </w:t>
      </w:r>
      <w:r w:rsidR="003816E2" w:rsidRPr="002B3E0B">
        <w:rPr>
          <w:rFonts w:ascii="Arial" w:hAnsi="Arial" w:cs="Arial"/>
          <w:sz w:val="24"/>
          <w:szCs w:val="24"/>
          <w:lang w:val="en-GB"/>
        </w:rPr>
        <w:t>recovery underpinned tax revenue growth, resulting in a buoyancy ratio of 2.0 in 2021/22, which moderated to 1.2 for the 2022/23 fiscal year.</w:t>
      </w:r>
    </w:p>
    <w:p w14:paraId="4D365CB7" w14:textId="77777777" w:rsidR="00BA2132" w:rsidRPr="002B3E0B" w:rsidRDefault="00BA2132" w:rsidP="00BA213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98FA6EE" w14:textId="33156350" w:rsidR="00B34BD3" w:rsidRPr="002B3E0B" w:rsidRDefault="00EE5C0F" w:rsidP="00E93AA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>Chapter 2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 of the publication highlights that </w:t>
      </w:r>
      <w:r w:rsidR="003076BA" w:rsidRPr="002B3E0B">
        <w:rPr>
          <w:rFonts w:ascii="Arial" w:hAnsi="Arial" w:cs="Arial"/>
          <w:sz w:val="24"/>
          <w:szCs w:val="24"/>
          <w:lang w:val="en-GB"/>
        </w:rPr>
        <w:t>b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y 31 March 2022, the PIT register had grown </w:t>
      </w:r>
      <w:r w:rsidR="00353CD4" w:rsidRPr="002B3E0B">
        <w:rPr>
          <w:rFonts w:ascii="Arial" w:hAnsi="Arial" w:cs="Arial"/>
          <w:sz w:val="24"/>
          <w:szCs w:val="24"/>
          <w:lang w:val="en-GB"/>
        </w:rPr>
        <w:t>annually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 by 4.1% to 24.8</w:t>
      </w:r>
      <w:r w:rsidR="00353CD4" w:rsidRPr="002B3E0B">
        <w:rPr>
          <w:rFonts w:ascii="Arial" w:hAnsi="Arial" w:cs="Arial"/>
          <w:sz w:val="24"/>
          <w:szCs w:val="24"/>
          <w:lang w:val="en-GB"/>
        </w:rPr>
        <w:t> </w:t>
      </w:r>
      <w:r w:rsidR="003171F7" w:rsidRPr="002B3E0B">
        <w:rPr>
          <w:rFonts w:ascii="Arial" w:hAnsi="Arial" w:cs="Arial"/>
          <w:sz w:val="24"/>
          <w:szCs w:val="24"/>
          <w:lang w:val="en-GB"/>
        </w:rPr>
        <w:t>million individuals</w:t>
      </w:r>
      <w:r w:rsidR="00246150" w:rsidRPr="002B3E0B">
        <w:rPr>
          <w:rFonts w:ascii="Arial" w:hAnsi="Arial" w:cs="Arial"/>
          <w:sz w:val="24"/>
          <w:szCs w:val="24"/>
          <w:lang w:val="en-GB"/>
        </w:rPr>
        <w:t xml:space="preserve"> (and by a further 4.5% to 25.9</w:t>
      </w:r>
      <w:r w:rsidR="007E1A10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246150" w:rsidRPr="002B3E0B">
        <w:rPr>
          <w:rFonts w:ascii="Arial" w:hAnsi="Arial" w:cs="Arial"/>
          <w:sz w:val="24"/>
          <w:szCs w:val="24"/>
          <w:lang w:val="en-GB"/>
        </w:rPr>
        <w:t>m</w:t>
      </w:r>
      <w:r w:rsidR="007E1A10" w:rsidRPr="002B3E0B">
        <w:rPr>
          <w:rFonts w:ascii="Arial" w:hAnsi="Arial" w:cs="Arial"/>
          <w:sz w:val="24"/>
          <w:szCs w:val="24"/>
          <w:lang w:val="en-GB"/>
        </w:rPr>
        <w:t>illion</w:t>
      </w:r>
      <w:r w:rsidR="00246150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4632A2" w:rsidRPr="002B3E0B">
        <w:rPr>
          <w:rFonts w:ascii="Arial" w:hAnsi="Arial" w:cs="Arial"/>
          <w:sz w:val="24"/>
          <w:szCs w:val="24"/>
          <w:lang w:val="en-GB"/>
        </w:rPr>
        <w:t xml:space="preserve">at the end of </w:t>
      </w:r>
      <w:r w:rsidR="00246150" w:rsidRPr="002B3E0B">
        <w:rPr>
          <w:rFonts w:ascii="Arial" w:hAnsi="Arial" w:cs="Arial"/>
          <w:sz w:val="24"/>
          <w:szCs w:val="24"/>
          <w:lang w:val="en-GB"/>
        </w:rPr>
        <w:t>March 2023)</w:t>
      </w:r>
      <w:r w:rsidR="00C632D8" w:rsidRPr="002B3E0B">
        <w:rPr>
          <w:rFonts w:ascii="Arial" w:hAnsi="Arial" w:cs="Arial"/>
          <w:sz w:val="24"/>
          <w:szCs w:val="24"/>
          <w:lang w:val="en-GB"/>
        </w:rPr>
        <w:t>.</w:t>
      </w:r>
      <w:r w:rsidR="00F2786A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6B55B3" w:rsidRPr="002B3E0B">
        <w:rPr>
          <w:rFonts w:ascii="Arial" w:hAnsi="Arial" w:cs="Arial"/>
          <w:sz w:val="24"/>
          <w:szCs w:val="24"/>
          <w:lang w:val="en-GB"/>
        </w:rPr>
        <w:t>The number of individuals expected to submit income tax returns was 7.1</w:t>
      </w:r>
      <w:r w:rsidR="001F7D64" w:rsidRPr="002B3E0B">
        <w:rPr>
          <w:rFonts w:ascii="Arial" w:hAnsi="Arial" w:cs="Arial"/>
          <w:sz w:val="24"/>
          <w:szCs w:val="24"/>
          <w:lang w:val="en-GB"/>
        </w:rPr>
        <w:t> </w:t>
      </w:r>
      <w:r w:rsidR="006B55B3" w:rsidRPr="002B3E0B">
        <w:rPr>
          <w:rFonts w:ascii="Arial" w:hAnsi="Arial" w:cs="Arial"/>
          <w:sz w:val="24"/>
          <w:szCs w:val="24"/>
          <w:lang w:val="en-GB"/>
        </w:rPr>
        <w:t>million for the 2019 tax year. This count decreased to 6.8</w:t>
      </w:r>
      <w:r w:rsidR="001F7D64" w:rsidRPr="002B3E0B">
        <w:rPr>
          <w:rFonts w:ascii="Arial" w:hAnsi="Arial" w:cs="Arial"/>
          <w:sz w:val="24"/>
          <w:szCs w:val="24"/>
          <w:lang w:val="en-GB"/>
        </w:rPr>
        <w:t> </w:t>
      </w:r>
      <w:r w:rsidR="006B55B3" w:rsidRPr="002B3E0B">
        <w:rPr>
          <w:rFonts w:ascii="Arial" w:hAnsi="Arial" w:cs="Arial"/>
          <w:sz w:val="24"/>
          <w:szCs w:val="24"/>
          <w:lang w:val="en-GB"/>
        </w:rPr>
        <w:t>million for the 2021 tax year but increased again to 7.1</w:t>
      </w:r>
      <w:r w:rsidR="001F7D64" w:rsidRPr="002B3E0B">
        <w:rPr>
          <w:rFonts w:ascii="Arial" w:hAnsi="Arial" w:cs="Arial"/>
          <w:sz w:val="24"/>
          <w:szCs w:val="24"/>
          <w:lang w:val="en-GB"/>
        </w:rPr>
        <w:t> </w:t>
      </w:r>
      <w:r w:rsidR="006B55B3" w:rsidRPr="002B3E0B">
        <w:rPr>
          <w:rFonts w:ascii="Arial" w:hAnsi="Arial" w:cs="Arial"/>
          <w:sz w:val="24"/>
          <w:szCs w:val="24"/>
          <w:lang w:val="en-GB"/>
        </w:rPr>
        <w:t xml:space="preserve">million for the 2022 tax year. These </w:t>
      </w:r>
      <w:r w:rsidR="000D1B6E" w:rsidRPr="002B3E0B">
        <w:rPr>
          <w:rFonts w:ascii="Arial" w:hAnsi="Arial" w:cs="Arial"/>
          <w:sz w:val="24"/>
          <w:szCs w:val="24"/>
          <w:lang w:val="en-GB"/>
        </w:rPr>
        <w:t xml:space="preserve">count </w:t>
      </w:r>
      <w:r w:rsidR="006B55B3" w:rsidRPr="002B3E0B">
        <w:rPr>
          <w:rFonts w:ascii="Arial" w:hAnsi="Arial" w:cs="Arial"/>
          <w:sz w:val="24"/>
          <w:szCs w:val="24"/>
          <w:lang w:val="en-GB"/>
        </w:rPr>
        <w:t xml:space="preserve">changes </w:t>
      </w:r>
      <w:r w:rsidR="001F7D64" w:rsidRPr="002B3E0B">
        <w:rPr>
          <w:rFonts w:ascii="Arial" w:hAnsi="Arial" w:cs="Arial"/>
          <w:sz w:val="24"/>
          <w:szCs w:val="24"/>
          <w:lang w:val="en-GB"/>
        </w:rPr>
        <w:t xml:space="preserve">are </w:t>
      </w:r>
      <w:r w:rsidR="005D1A97" w:rsidRPr="002B3E0B">
        <w:rPr>
          <w:rFonts w:ascii="Arial" w:hAnsi="Arial" w:cs="Arial"/>
          <w:sz w:val="24"/>
          <w:szCs w:val="24"/>
          <w:lang w:val="en-GB"/>
        </w:rPr>
        <w:t xml:space="preserve">mainly </w:t>
      </w:r>
      <w:r w:rsidR="001F7D64" w:rsidRPr="002B3E0B">
        <w:rPr>
          <w:rFonts w:ascii="Arial" w:hAnsi="Arial" w:cs="Arial"/>
          <w:sz w:val="24"/>
          <w:szCs w:val="24"/>
          <w:lang w:val="en-GB"/>
        </w:rPr>
        <w:t>due</w:t>
      </w:r>
      <w:r w:rsidR="006B55B3" w:rsidRPr="002B3E0B">
        <w:rPr>
          <w:rFonts w:ascii="Arial" w:hAnsi="Arial" w:cs="Arial"/>
          <w:sz w:val="24"/>
          <w:szCs w:val="24"/>
          <w:lang w:val="en-GB"/>
        </w:rPr>
        <w:t xml:space="preserve"> to changes in the </w:t>
      </w:r>
      <w:r w:rsidR="000D1B6E" w:rsidRPr="002B3E0B">
        <w:rPr>
          <w:rFonts w:ascii="Arial" w:hAnsi="Arial" w:cs="Arial"/>
          <w:sz w:val="24"/>
          <w:szCs w:val="24"/>
          <w:lang w:val="en-GB"/>
        </w:rPr>
        <w:t xml:space="preserve">minimum tax </w:t>
      </w:r>
      <w:r w:rsidR="006B55B3" w:rsidRPr="002B3E0B">
        <w:rPr>
          <w:rFonts w:ascii="Arial" w:hAnsi="Arial" w:cs="Arial"/>
          <w:sz w:val="24"/>
          <w:szCs w:val="24"/>
          <w:lang w:val="en-GB"/>
        </w:rPr>
        <w:t>threshold for submission of returns.</w:t>
      </w:r>
      <w:r w:rsidR="001F7D64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0D1B6E" w:rsidRPr="002B3E0B">
        <w:rPr>
          <w:rFonts w:ascii="Arial" w:hAnsi="Arial" w:cs="Arial"/>
          <w:sz w:val="24"/>
          <w:szCs w:val="24"/>
          <w:lang w:val="en-GB"/>
        </w:rPr>
        <w:t>Published a</w:t>
      </w:r>
      <w:r w:rsidR="00C632D8" w:rsidRPr="002B3E0B">
        <w:rPr>
          <w:rFonts w:ascii="Arial" w:hAnsi="Arial" w:cs="Arial"/>
          <w:sz w:val="24"/>
          <w:szCs w:val="24"/>
          <w:lang w:val="en-GB"/>
        </w:rPr>
        <w:t xml:space="preserve">ssessed data for individual taxpayers indicated that, of the </w:t>
      </w:r>
      <w:r w:rsidR="003076BA" w:rsidRPr="002B3E0B">
        <w:rPr>
          <w:rFonts w:ascii="Arial" w:hAnsi="Arial" w:cs="Arial"/>
          <w:sz w:val="24"/>
          <w:szCs w:val="24"/>
          <w:lang w:val="en-GB"/>
        </w:rPr>
        <w:t>7</w:t>
      </w:r>
      <w:r w:rsidR="001F7D64" w:rsidRPr="002B3E0B">
        <w:rPr>
          <w:rFonts w:ascii="Arial" w:hAnsi="Arial" w:cs="Arial"/>
          <w:sz w:val="24"/>
          <w:szCs w:val="24"/>
          <w:lang w:val="en-GB"/>
        </w:rPr>
        <w:t> </w:t>
      </w:r>
      <w:r w:rsidR="003076BA" w:rsidRPr="002B3E0B">
        <w:rPr>
          <w:rFonts w:ascii="Arial" w:hAnsi="Arial" w:cs="Arial"/>
          <w:sz w:val="24"/>
          <w:szCs w:val="24"/>
          <w:lang w:val="en-GB"/>
        </w:rPr>
        <w:t>068</w:t>
      </w:r>
      <w:r w:rsidR="001F7D64" w:rsidRPr="002B3E0B">
        <w:rPr>
          <w:rFonts w:ascii="Arial" w:hAnsi="Arial" w:cs="Arial"/>
          <w:sz w:val="24"/>
          <w:szCs w:val="24"/>
          <w:lang w:val="en-GB"/>
        </w:rPr>
        <w:t> </w:t>
      </w:r>
      <w:r w:rsidR="003076BA" w:rsidRPr="002B3E0B">
        <w:rPr>
          <w:rFonts w:ascii="Arial" w:hAnsi="Arial" w:cs="Arial"/>
          <w:sz w:val="24"/>
          <w:szCs w:val="24"/>
          <w:lang w:val="en-GB"/>
        </w:rPr>
        <w:t>925 taxpayers expected to submit returns for the 2022 tax year, 5</w:t>
      </w:r>
      <w:r w:rsidR="00F74871" w:rsidRPr="002B3E0B">
        <w:rPr>
          <w:rFonts w:ascii="Arial" w:hAnsi="Arial" w:cs="Arial"/>
          <w:sz w:val="24"/>
          <w:szCs w:val="24"/>
          <w:lang w:val="en-GB"/>
        </w:rPr>
        <w:t> </w:t>
      </w:r>
      <w:r w:rsidR="003076BA" w:rsidRPr="002B3E0B">
        <w:rPr>
          <w:rFonts w:ascii="Arial" w:hAnsi="Arial" w:cs="Arial"/>
          <w:sz w:val="24"/>
          <w:szCs w:val="24"/>
          <w:lang w:val="en-GB"/>
        </w:rPr>
        <w:t>989</w:t>
      </w:r>
      <w:r w:rsidR="00F74871" w:rsidRPr="002B3E0B">
        <w:rPr>
          <w:rFonts w:ascii="Arial" w:hAnsi="Arial" w:cs="Arial"/>
          <w:sz w:val="24"/>
          <w:szCs w:val="24"/>
          <w:lang w:val="en-GB"/>
        </w:rPr>
        <w:t> </w:t>
      </w:r>
      <w:r w:rsidR="003076BA" w:rsidRPr="002B3E0B">
        <w:rPr>
          <w:rFonts w:ascii="Arial" w:hAnsi="Arial" w:cs="Arial"/>
          <w:sz w:val="24"/>
          <w:szCs w:val="24"/>
          <w:lang w:val="en-GB"/>
        </w:rPr>
        <w:t>787 (84.7%) taxpayers have been assessed</w:t>
      </w:r>
      <w:r w:rsidR="00C632D8" w:rsidRPr="002B3E0B">
        <w:rPr>
          <w:rFonts w:ascii="Arial" w:hAnsi="Arial" w:cs="Arial"/>
          <w:sz w:val="24"/>
          <w:szCs w:val="24"/>
          <w:lang w:val="en-GB"/>
        </w:rPr>
        <w:t xml:space="preserve">. </w:t>
      </w:r>
      <w:r w:rsidRPr="002B3E0B">
        <w:rPr>
          <w:rFonts w:ascii="Arial" w:hAnsi="Arial" w:cs="Arial"/>
          <w:sz w:val="24"/>
          <w:szCs w:val="24"/>
          <w:lang w:val="en-GB"/>
        </w:rPr>
        <w:t>P</w:t>
      </w:r>
      <w:r w:rsidR="00C27ED3" w:rsidRPr="002B3E0B">
        <w:rPr>
          <w:rFonts w:ascii="Arial" w:hAnsi="Arial" w:cs="Arial"/>
          <w:sz w:val="24"/>
          <w:szCs w:val="24"/>
          <w:lang w:val="en-GB"/>
        </w:rPr>
        <w:t>ersonal income tax</w:t>
      </w:r>
      <w:r w:rsidRPr="002B3E0B">
        <w:rPr>
          <w:rFonts w:ascii="Arial" w:hAnsi="Arial" w:cs="Arial"/>
          <w:sz w:val="24"/>
          <w:szCs w:val="24"/>
          <w:lang w:val="en-GB"/>
        </w:rPr>
        <w:t>, geographic</w:t>
      </w:r>
      <w:r w:rsidR="00C27ED3" w:rsidRPr="002B3E0B">
        <w:rPr>
          <w:rFonts w:ascii="Arial" w:hAnsi="Arial" w:cs="Arial"/>
          <w:sz w:val="24"/>
          <w:szCs w:val="24"/>
          <w:lang w:val="en-GB"/>
        </w:rPr>
        <w:t>,</w:t>
      </w:r>
      <w:r w:rsidR="00B34BD3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Pr="002B3E0B">
        <w:rPr>
          <w:rFonts w:ascii="Arial" w:hAnsi="Arial" w:cs="Arial"/>
          <w:sz w:val="24"/>
          <w:szCs w:val="24"/>
          <w:lang w:val="en-GB"/>
        </w:rPr>
        <w:t>demographic</w:t>
      </w:r>
      <w:r w:rsidR="00F74871" w:rsidRPr="002B3E0B">
        <w:rPr>
          <w:rFonts w:ascii="Arial" w:hAnsi="Arial" w:cs="Arial"/>
          <w:sz w:val="24"/>
          <w:szCs w:val="24"/>
          <w:lang w:val="en-GB"/>
        </w:rPr>
        <w:t>,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C27ED3" w:rsidRPr="002B3E0B">
        <w:rPr>
          <w:rFonts w:ascii="Arial" w:hAnsi="Arial" w:cs="Arial"/>
          <w:sz w:val="24"/>
          <w:szCs w:val="24"/>
          <w:lang w:val="en-GB"/>
        </w:rPr>
        <w:t xml:space="preserve">and other </w:t>
      </w:r>
      <w:r w:rsidR="00B34BD3" w:rsidRPr="002B3E0B">
        <w:rPr>
          <w:rFonts w:ascii="Arial" w:hAnsi="Arial" w:cs="Arial"/>
          <w:sz w:val="24"/>
          <w:szCs w:val="24"/>
          <w:lang w:val="en-GB"/>
        </w:rPr>
        <w:t>analys</w:t>
      </w:r>
      <w:r w:rsidR="00F74871" w:rsidRPr="002B3E0B">
        <w:rPr>
          <w:rFonts w:ascii="Arial" w:hAnsi="Arial" w:cs="Arial"/>
          <w:sz w:val="24"/>
          <w:szCs w:val="24"/>
          <w:lang w:val="en-GB"/>
        </w:rPr>
        <w:t>e</w:t>
      </w:r>
      <w:r w:rsidR="00B34BD3" w:rsidRPr="002B3E0B">
        <w:rPr>
          <w:rFonts w:ascii="Arial" w:hAnsi="Arial" w:cs="Arial"/>
          <w:sz w:val="24"/>
          <w:szCs w:val="24"/>
          <w:lang w:val="en-GB"/>
        </w:rPr>
        <w:t xml:space="preserve">s </w:t>
      </w:r>
      <w:r w:rsidR="00B34BD3" w:rsidRPr="002B3E0B">
        <w:rPr>
          <w:rFonts w:ascii="Arial" w:hAnsi="Arial" w:cs="Arial"/>
          <w:sz w:val="24"/>
          <w:szCs w:val="24"/>
          <w:lang w:val="en-GB"/>
        </w:rPr>
        <w:lastRenderedPageBreak/>
        <w:t xml:space="preserve">of the assessments of </w:t>
      </w:r>
      <w:r w:rsidR="001C4F7B" w:rsidRPr="002B3E0B">
        <w:rPr>
          <w:rFonts w:ascii="Arial" w:hAnsi="Arial" w:cs="Arial"/>
          <w:sz w:val="24"/>
          <w:szCs w:val="24"/>
          <w:lang w:val="en-GB"/>
        </w:rPr>
        <w:t xml:space="preserve">the </w:t>
      </w:r>
      <w:r w:rsidR="00B34BD3" w:rsidRPr="002B3E0B">
        <w:rPr>
          <w:rFonts w:ascii="Arial" w:hAnsi="Arial" w:cs="Arial"/>
          <w:sz w:val="24"/>
          <w:szCs w:val="24"/>
          <w:lang w:val="en-GB"/>
        </w:rPr>
        <w:t xml:space="preserve">taxpayers who had been assessed as at the end of </w:t>
      </w:r>
      <w:r w:rsidR="008136FF" w:rsidRPr="002B3E0B">
        <w:rPr>
          <w:rFonts w:ascii="Arial" w:hAnsi="Arial" w:cs="Arial"/>
          <w:sz w:val="24"/>
          <w:szCs w:val="24"/>
          <w:lang w:val="en-GB"/>
        </w:rPr>
        <w:t xml:space="preserve">August </w:t>
      </w:r>
      <w:r w:rsidR="003076BA" w:rsidRPr="002B3E0B">
        <w:rPr>
          <w:rFonts w:ascii="Arial" w:hAnsi="Arial" w:cs="Arial"/>
          <w:sz w:val="24"/>
          <w:szCs w:val="24"/>
          <w:lang w:val="en-GB"/>
        </w:rPr>
        <w:t xml:space="preserve">2023 </w:t>
      </w:r>
      <w:r w:rsidR="00550FFF" w:rsidRPr="002B3E0B">
        <w:rPr>
          <w:rFonts w:ascii="Arial" w:hAnsi="Arial" w:cs="Arial"/>
          <w:sz w:val="24"/>
          <w:szCs w:val="24"/>
          <w:lang w:val="en-GB"/>
        </w:rPr>
        <w:t xml:space="preserve">for the </w:t>
      </w:r>
      <w:r w:rsidR="003076BA" w:rsidRPr="002B3E0B">
        <w:rPr>
          <w:rFonts w:ascii="Arial" w:hAnsi="Arial" w:cs="Arial"/>
          <w:sz w:val="24"/>
          <w:szCs w:val="24"/>
          <w:lang w:val="en-GB"/>
        </w:rPr>
        <w:t xml:space="preserve">2022 </w:t>
      </w:r>
      <w:r w:rsidR="00550FFF" w:rsidRPr="002B3E0B">
        <w:rPr>
          <w:rFonts w:ascii="Arial" w:hAnsi="Arial" w:cs="Arial"/>
          <w:sz w:val="24"/>
          <w:szCs w:val="24"/>
          <w:lang w:val="en-GB"/>
        </w:rPr>
        <w:t xml:space="preserve">tax year 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showed </w:t>
      </w:r>
      <w:r w:rsidR="00F74871" w:rsidRPr="002B3E0B">
        <w:rPr>
          <w:rFonts w:ascii="Arial" w:hAnsi="Arial" w:cs="Arial"/>
          <w:sz w:val="24"/>
          <w:szCs w:val="24"/>
          <w:lang w:val="en-GB"/>
        </w:rPr>
        <w:t>that</w:t>
      </w:r>
      <w:r w:rsidR="00747DE5" w:rsidRPr="002B3E0B">
        <w:rPr>
          <w:rFonts w:ascii="Arial" w:hAnsi="Arial" w:cs="Arial"/>
          <w:sz w:val="24"/>
          <w:szCs w:val="24"/>
          <w:lang w:val="en-GB"/>
        </w:rPr>
        <w:t>:</w:t>
      </w:r>
    </w:p>
    <w:p w14:paraId="1DAB9FC2" w14:textId="670D5AA8" w:rsidR="006B55B3" w:rsidRPr="002B3E0B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2</w:t>
      </w:r>
      <w:r w:rsidR="00F74871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319</w:t>
      </w:r>
      <w:r w:rsidR="00F74871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473 (38.7%) of assessed taxpayers were registered in Gauteng.</w:t>
      </w:r>
    </w:p>
    <w:p w14:paraId="5C1C856E" w14:textId="2B585C67" w:rsidR="006B55B3" w:rsidRPr="002B3E0B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775</w:t>
      </w:r>
      <w:r w:rsidR="00F74871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508 </w:t>
      </w:r>
      <w:r w:rsidR="005D1A97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(36.3%) 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of assessed taxpayers lived in the Johannesburg Metro and were taxed on an average taxable income of R472</w:t>
      </w:r>
      <w:r w:rsidR="00F74871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982.</w:t>
      </w:r>
    </w:p>
    <w:p w14:paraId="4D37B064" w14:textId="10694721" w:rsidR="006B55B3" w:rsidRPr="002B3E0B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1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533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415 (25.6%) of assessed taxpayers were 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 xml:space="preserve">from 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35 to 44 years old.</w:t>
      </w:r>
    </w:p>
    <w:p w14:paraId="6C76C797" w14:textId="087EA6FD" w:rsidR="006B55B3" w:rsidRPr="002B3E0B" w:rsidRDefault="006B55B3" w:rsidP="006B55B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3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070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111 (51.3%) of assessed taxpayers were male; 2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884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706 (48.2%) were female.</w:t>
      </w:r>
    </w:p>
    <w:p w14:paraId="375C8924" w14:textId="08AE2848" w:rsidR="000C7156" w:rsidRPr="002B3E0B" w:rsidRDefault="006B55B3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Assessed taxpayers reported aggregated taxable income of R2.1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trillion and tax liability of R447.6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 </w:t>
      </w:r>
      <w:r w:rsidRPr="002B3E0B">
        <w:rPr>
          <w:rFonts w:ascii="Arial" w:eastAsiaTheme="minorEastAsia" w:hAnsi="Arial" w:cs="Arial"/>
          <w:sz w:val="24"/>
          <w:szCs w:val="24"/>
          <w:lang w:val="en-GB"/>
        </w:rPr>
        <w:t>billion. The average tax rate was 21.8% compared to 21.3% in the previous tax year</w:t>
      </w:r>
      <w:r w:rsidR="00DF670A" w:rsidRPr="002B3E0B">
        <w:rPr>
          <w:rFonts w:ascii="Arial" w:eastAsiaTheme="minorEastAsia" w:hAnsi="Arial" w:cs="Arial"/>
          <w:sz w:val="24"/>
          <w:szCs w:val="24"/>
          <w:lang w:val="en-GB"/>
        </w:rPr>
        <w:t>.</w:t>
      </w:r>
    </w:p>
    <w:p w14:paraId="7405FAC6" w14:textId="7B12F83B" w:rsidR="000C7156" w:rsidRPr="002B3E0B" w:rsidRDefault="006B55B3" w:rsidP="008136FF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2B3E0B">
        <w:rPr>
          <w:rFonts w:ascii="Arial" w:eastAsiaTheme="minorEastAsia" w:hAnsi="Arial" w:cs="Arial"/>
          <w:sz w:val="24"/>
          <w:szCs w:val="24"/>
          <w:lang w:val="en-GB"/>
        </w:rPr>
        <w:t>Income from salaries, wages, pension, overtime and annuities accounted for 75.5% of total taxable income</w:t>
      </w:r>
      <w:r w:rsidR="000C7156" w:rsidRPr="002B3E0B">
        <w:rPr>
          <w:rFonts w:ascii="Arial" w:eastAsiaTheme="minorEastAsia" w:hAnsi="Arial" w:cs="Arial"/>
          <w:sz w:val="24"/>
          <w:szCs w:val="24"/>
          <w:lang w:val="en-GB"/>
        </w:rPr>
        <w:t>.</w:t>
      </w:r>
    </w:p>
    <w:p w14:paraId="24726FD3" w14:textId="77777777" w:rsidR="00DA4C6E" w:rsidRPr="002B3E0B" w:rsidRDefault="00DA4C6E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538A8B9" w14:textId="41A1572D" w:rsidR="00DA4C6E" w:rsidRPr="002B3E0B" w:rsidRDefault="00EE5C0F" w:rsidP="008136F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Statistics </w:t>
      </w:r>
      <w:r w:rsidR="00DF670A" w:rsidRPr="002B3E0B">
        <w:rPr>
          <w:rFonts w:ascii="Arial" w:hAnsi="Arial" w:cs="Arial"/>
          <w:sz w:val="24"/>
          <w:szCs w:val="24"/>
          <w:lang w:val="en-GB"/>
        </w:rPr>
        <w:t xml:space="preserve">for </w:t>
      </w:r>
      <w:r w:rsidR="00381807" w:rsidRPr="002B3E0B">
        <w:rPr>
          <w:rFonts w:ascii="Arial" w:hAnsi="Arial" w:cs="Arial"/>
          <w:sz w:val="24"/>
          <w:szCs w:val="24"/>
          <w:lang w:val="en-GB"/>
        </w:rPr>
        <w:t>Company Income Tax (CIT)</w:t>
      </w:r>
      <w:r w:rsidR="00DF670A" w:rsidRPr="002B3E0B">
        <w:rPr>
          <w:rFonts w:ascii="Arial" w:hAnsi="Arial" w:cs="Arial"/>
          <w:sz w:val="24"/>
          <w:szCs w:val="24"/>
          <w:lang w:val="en-GB"/>
        </w:rPr>
        <w:t xml:space="preserve"> in Chapter 3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 reveal that</w:t>
      </w:r>
      <w:r w:rsidR="00DF670A" w:rsidRPr="002B3E0B">
        <w:rPr>
          <w:rFonts w:ascii="Arial" w:hAnsi="Arial" w:cs="Arial"/>
          <w:sz w:val="24"/>
          <w:szCs w:val="24"/>
          <w:lang w:val="en-GB"/>
        </w:rPr>
        <w:t>,</w:t>
      </w:r>
      <w:r w:rsidR="00B10959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4114FD" w:rsidRPr="002B3E0B">
        <w:rPr>
          <w:rFonts w:ascii="Arial" w:hAnsi="Arial" w:cs="Arial"/>
          <w:sz w:val="24"/>
          <w:szCs w:val="24"/>
          <w:lang w:val="en-GB"/>
        </w:rPr>
        <w:t>o</w:t>
      </w:r>
      <w:r w:rsidR="00B10959" w:rsidRPr="002B3E0B">
        <w:rPr>
          <w:rFonts w:ascii="Arial" w:hAnsi="Arial" w:cs="Arial"/>
          <w:sz w:val="24"/>
          <w:szCs w:val="24"/>
          <w:lang w:val="en-GB"/>
        </w:rPr>
        <w:t xml:space="preserve">ut of </w:t>
      </w:r>
      <w:r w:rsidR="003171F7" w:rsidRPr="002B3E0B">
        <w:rPr>
          <w:rFonts w:ascii="Arial" w:hAnsi="Arial" w:cs="Arial"/>
          <w:sz w:val="24"/>
          <w:szCs w:val="24"/>
          <w:lang w:val="en-GB"/>
        </w:rPr>
        <w:t>the 1</w:t>
      </w:r>
      <w:r w:rsidR="00DF670A" w:rsidRPr="002B3E0B">
        <w:rPr>
          <w:rFonts w:ascii="Arial" w:hAnsi="Arial" w:cs="Arial"/>
          <w:sz w:val="24"/>
          <w:szCs w:val="24"/>
          <w:lang w:val="en-GB"/>
        </w:rPr>
        <w:t> </w:t>
      </w:r>
      <w:r w:rsidR="003171F7" w:rsidRPr="002B3E0B">
        <w:rPr>
          <w:rFonts w:ascii="Arial" w:hAnsi="Arial" w:cs="Arial"/>
          <w:sz w:val="24"/>
          <w:szCs w:val="24"/>
          <w:lang w:val="en-GB"/>
        </w:rPr>
        <w:t>057</w:t>
      </w:r>
      <w:r w:rsidR="00DF670A" w:rsidRPr="002B3E0B">
        <w:rPr>
          <w:rFonts w:ascii="Arial" w:hAnsi="Arial" w:cs="Arial"/>
          <w:sz w:val="24"/>
          <w:szCs w:val="24"/>
          <w:lang w:val="en-GB"/>
        </w:rPr>
        <w:t> </w:t>
      </w:r>
      <w:r w:rsidR="003171F7" w:rsidRPr="002B3E0B">
        <w:rPr>
          <w:rFonts w:ascii="Arial" w:hAnsi="Arial" w:cs="Arial"/>
          <w:sz w:val="24"/>
          <w:szCs w:val="24"/>
          <w:lang w:val="en-GB"/>
        </w:rPr>
        <w:t>040 companies assessed by 30 September 2023 for the 2021 tax year, 20.7% declared a positive taxable income, 52.6% had taxable income equal to zero, and the remaining 26.7% reported an assessed loss</w:t>
      </w:r>
      <w:r w:rsidR="00830ED7" w:rsidRPr="002B3E0B">
        <w:rPr>
          <w:rFonts w:ascii="Arial" w:hAnsi="Arial" w:cs="Arial"/>
          <w:sz w:val="24"/>
          <w:szCs w:val="24"/>
          <w:lang w:val="en-GB"/>
        </w:rPr>
        <w:t>.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 </w:t>
      </w:r>
      <w:r w:rsidR="002228DB" w:rsidRPr="002B3E0B">
        <w:rPr>
          <w:rFonts w:ascii="Arial" w:hAnsi="Arial" w:cs="Arial"/>
          <w:sz w:val="24"/>
          <w:szCs w:val="24"/>
          <w:lang w:val="en-GB"/>
        </w:rPr>
        <w:t xml:space="preserve">Of the companies assessed, </w:t>
      </w:r>
      <w:r w:rsidR="003171F7" w:rsidRPr="002B3E0B">
        <w:rPr>
          <w:rFonts w:ascii="Arial" w:hAnsi="Arial" w:cs="Arial"/>
          <w:sz w:val="24"/>
          <w:szCs w:val="24"/>
          <w:lang w:val="en-GB"/>
        </w:rPr>
        <w:t>432 large companies (0.2% of the companies with positive taxable income) had taxable income of more than R200</w:t>
      </w:r>
      <w:r w:rsidR="00DF670A" w:rsidRPr="002B3E0B">
        <w:rPr>
          <w:rFonts w:ascii="Arial" w:hAnsi="Arial" w:cs="Arial"/>
          <w:sz w:val="24"/>
          <w:szCs w:val="24"/>
          <w:lang w:val="en-GB"/>
        </w:rPr>
        <w:t> 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million and were liable for 67.1% of the CIT assessed. The </w:t>
      </w:r>
      <w:r w:rsidR="002228DB" w:rsidRPr="002B3E0B">
        <w:rPr>
          <w:rFonts w:ascii="Arial" w:hAnsi="Arial" w:cs="Arial"/>
          <w:sz w:val="24"/>
          <w:szCs w:val="24"/>
          <w:lang w:val="en-GB"/>
        </w:rPr>
        <w:t xml:space="preserve">Financial </w:t>
      </w:r>
      <w:r w:rsidR="003171F7" w:rsidRPr="002B3E0B">
        <w:rPr>
          <w:rFonts w:ascii="Arial" w:hAnsi="Arial" w:cs="Arial"/>
          <w:sz w:val="24"/>
          <w:szCs w:val="24"/>
          <w:lang w:val="en-GB"/>
        </w:rPr>
        <w:t>intermediation, insurance, real-estate</w:t>
      </w:r>
      <w:r w:rsidR="003328CE" w:rsidRPr="002B3E0B">
        <w:rPr>
          <w:rFonts w:ascii="Arial" w:hAnsi="Arial" w:cs="Arial"/>
          <w:sz w:val="24"/>
          <w:szCs w:val="24"/>
          <w:lang w:val="en-GB"/>
        </w:rPr>
        <w:t>,</w:t>
      </w:r>
      <w:r w:rsidR="003171F7" w:rsidRPr="002B3E0B">
        <w:rPr>
          <w:rFonts w:ascii="Arial" w:hAnsi="Arial" w:cs="Arial"/>
          <w:sz w:val="24"/>
          <w:szCs w:val="24"/>
          <w:lang w:val="en-GB"/>
        </w:rPr>
        <w:t xml:space="preserve"> and business</w:t>
      </w:r>
      <w:r w:rsidR="003328CE" w:rsidRPr="002B3E0B">
        <w:rPr>
          <w:rFonts w:ascii="Arial" w:hAnsi="Arial" w:cs="Arial"/>
          <w:sz w:val="24"/>
          <w:szCs w:val="24"/>
          <w:lang w:val="en-GB"/>
        </w:rPr>
        <w:t>-</w:t>
      </w:r>
      <w:r w:rsidR="003171F7" w:rsidRPr="002B3E0B">
        <w:rPr>
          <w:rFonts w:ascii="Arial" w:hAnsi="Arial" w:cs="Arial"/>
          <w:sz w:val="24"/>
          <w:szCs w:val="24"/>
          <w:lang w:val="en-GB"/>
        </w:rPr>
        <w:t>services sector accounted for 253</w:t>
      </w:r>
      <w:r w:rsidR="003328CE" w:rsidRPr="002B3E0B">
        <w:rPr>
          <w:rFonts w:ascii="Arial" w:hAnsi="Arial" w:cs="Arial"/>
          <w:sz w:val="24"/>
          <w:szCs w:val="24"/>
          <w:lang w:val="en-GB"/>
        </w:rPr>
        <w:t> </w:t>
      </w:r>
      <w:r w:rsidR="003171F7" w:rsidRPr="002B3E0B">
        <w:rPr>
          <w:rFonts w:ascii="Arial" w:hAnsi="Arial" w:cs="Arial"/>
          <w:sz w:val="24"/>
          <w:szCs w:val="24"/>
          <w:lang w:val="en-GB"/>
        </w:rPr>
        <w:t>241 (24.0%) of the assessed companies and was liable for 30.8% of the CIT assessed, contributing the most among all the sectors.</w:t>
      </w:r>
    </w:p>
    <w:p w14:paraId="79ADAE73" w14:textId="77777777" w:rsidR="00B10959" w:rsidRPr="002B3E0B" w:rsidRDefault="00B10959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70A6B8A" w14:textId="315F788E" w:rsidR="00AB6F5D" w:rsidRPr="002B3E0B" w:rsidRDefault="00AB6F5D" w:rsidP="00D10D6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B3E0B">
        <w:rPr>
          <w:rFonts w:ascii="Arial" w:hAnsi="Arial" w:cs="Arial"/>
          <w:sz w:val="24"/>
          <w:szCs w:val="24"/>
          <w:lang w:val="en-GB"/>
        </w:rPr>
        <w:t xml:space="preserve">Chapter 4 </w:t>
      </w:r>
      <w:r w:rsidR="00854456" w:rsidRPr="002B3E0B">
        <w:rPr>
          <w:rFonts w:ascii="Arial" w:hAnsi="Arial" w:cs="Arial"/>
          <w:sz w:val="24"/>
          <w:szCs w:val="24"/>
          <w:lang w:val="en-GB"/>
        </w:rPr>
        <w:t xml:space="preserve">shows 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that in </w:t>
      </w:r>
      <w:r w:rsidR="003A5172" w:rsidRPr="002B3E0B">
        <w:rPr>
          <w:rFonts w:ascii="Arial" w:hAnsi="Arial" w:cs="Arial"/>
          <w:sz w:val="24"/>
          <w:szCs w:val="24"/>
          <w:lang w:val="en-GB"/>
        </w:rPr>
        <w:t>2022</w:t>
      </w:r>
      <w:r w:rsidR="00ED4A1D" w:rsidRPr="002B3E0B">
        <w:rPr>
          <w:rFonts w:ascii="Arial" w:hAnsi="Arial" w:cs="Arial"/>
          <w:sz w:val="24"/>
          <w:szCs w:val="24"/>
          <w:lang w:val="en-GB"/>
        </w:rPr>
        <w:t>/</w:t>
      </w:r>
      <w:r w:rsidR="003A5172" w:rsidRPr="002B3E0B">
        <w:rPr>
          <w:rFonts w:ascii="Arial" w:hAnsi="Arial" w:cs="Arial"/>
          <w:sz w:val="24"/>
          <w:szCs w:val="24"/>
          <w:lang w:val="en-GB"/>
        </w:rPr>
        <w:t>23</w:t>
      </w:r>
      <w:r w:rsidRPr="002B3E0B">
        <w:rPr>
          <w:rFonts w:ascii="Arial" w:hAnsi="Arial" w:cs="Arial"/>
          <w:sz w:val="24"/>
          <w:szCs w:val="24"/>
          <w:lang w:val="en-GB"/>
        </w:rPr>
        <w:t xml:space="preserve">, </w:t>
      </w:r>
      <w:r w:rsidR="003A5172" w:rsidRPr="002B3E0B">
        <w:rPr>
          <w:rFonts w:ascii="Arial" w:hAnsi="Arial" w:cs="Arial"/>
          <w:sz w:val="24"/>
          <w:szCs w:val="24"/>
          <w:lang w:val="en-GB"/>
        </w:rPr>
        <w:t>80.8</w:t>
      </w:r>
      <w:r w:rsidR="00D10D6C" w:rsidRPr="002B3E0B">
        <w:rPr>
          <w:rFonts w:ascii="Arial" w:hAnsi="Arial" w:cs="Arial"/>
          <w:sz w:val="24"/>
          <w:szCs w:val="24"/>
          <w:lang w:val="en-GB"/>
        </w:rPr>
        <w:t xml:space="preserve">% of active </w:t>
      </w:r>
      <w:r w:rsidR="00E62F1A" w:rsidRPr="002B3E0B">
        <w:rPr>
          <w:rFonts w:ascii="Arial" w:hAnsi="Arial" w:cs="Arial"/>
          <w:sz w:val="24"/>
          <w:szCs w:val="24"/>
          <w:lang w:val="en-GB"/>
        </w:rPr>
        <w:t>Value-</w:t>
      </w:r>
      <w:r w:rsidR="00BD1AA9" w:rsidRPr="002B3E0B">
        <w:rPr>
          <w:rFonts w:ascii="Arial" w:hAnsi="Arial" w:cs="Arial"/>
          <w:sz w:val="24"/>
          <w:szCs w:val="24"/>
          <w:lang w:val="en-GB"/>
        </w:rPr>
        <w:t xml:space="preserve">Added </w:t>
      </w:r>
      <w:r w:rsidR="00E62F1A" w:rsidRPr="002B3E0B">
        <w:rPr>
          <w:rFonts w:ascii="Arial" w:hAnsi="Arial" w:cs="Arial"/>
          <w:sz w:val="24"/>
          <w:szCs w:val="24"/>
          <w:lang w:val="en-GB"/>
        </w:rPr>
        <w:t xml:space="preserve">Tax (VAT) </w:t>
      </w:r>
      <w:r w:rsidR="00D10D6C" w:rsidRPr="002B3E0B">
        <w:rPr>
          <w:rFonts w:ascii="Arial" w:hAnsi="Arial" w:cs="Arial"/>
          <w:sz w:val="24"/>
          <w:szCs w:val="24"/>
          <w:lang w:val="en-GB"/>
        </w:rPr>
        <w:t xml:space="preserve">vendors were companies and close corporations. </w:t>
      </w:r>
      <w:r w:rsidR="002228DB" w:rsidRPr="002B3E0B">
        <w:rPr>
          <w:rFonts w:ascii="Arial" w:hAnsi="Arial" w:cs="Arial"/>
          <w:sz w:val="24"/>
          <w:szCs w:val="24"/>
          <w:lang w:val="en-GB"/>
        </w:rPr>
        <w:t xml:space="preserve">These vendors </w:t>
      </w:r>
      <w:r w:rsidR="003A5172" w:rsidRPr="002B3E0B">
        <w:rPr>
          <w:rFonts w:ascii="Arial" w:hAnsi="Arial" w:cs="Arial"/>
          <w:sz w:val="24"/>
          <w:szCs w:val="24"/>
          <w:lang w:val="en-GB"/>
        </w:rPr>
        <w:t>contributed 92.6% to Domestic VAT payments and received 92.8% of the VAT refunded. Although individuals (sole proprietors) composed 11.5% of active VAT vendors, they contributed 1.9% to Domestic VAT payments and received 0.7% of the VAT refunded</w:t>
      </w:r>
      <w:r w:rsidRPr="002B3E0B">
        <w:rPr>
          <w:rFonts w:ascii="Arial" w:hAnsi="Arial" w:cs="Arial"/>
          <w:sz w:val="24"/>
          <w:szCs w:val="24"/>
          <w:lang w:val="en-GB"/>
        </w:rPr>
        <w:t>.</w:t>
      </w:r>
    </w:p>
    <w:p w14:paraId="05CC470E" w14:textId="77777777" w:rsidR="00DA4C6E" w:rsidRPr="001F32E9" w:rsidRDefault="00DA4C6E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1DB5016" w14:textId="72E2D27E" w:rsidR="0034053A" w:rsidRPr="00A908E2" w:rsidRDefault="00AB6F5D" w:rsidP="000E6BF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908E2">
        <w:rPr>
          <w:rFonts w:ascii="Arial" w:hAnsi="Arial" w:cs="Arial"/>
          <w:sz w:val="24"/>
          <w:szCs w:val="24"/>
          <w:lang w:val="en-GB"/>
        </w:rPr>
        <w:lastRenderedPageBreak/>
        <w:t>As detailed in Chapter 5,</w:t>
      </w:r>
      <w:r w:rsidR="0068281E" w:rsidRPr="00A908E2">
        <w:rPr>
          <w:rFonts w:ascii="Arial" w:hAnsi="Arial" w:cs="Arial"/>
          <w:sz w:val="24"/>
          <w:szCs w:val="24"/>
          <w:lang w:val="en-GB"/>
        </w:rPr>
        <w:t xml:space="preserve"> </w:t>
      </w:r>
      <w:r w:rsidRPr="00A908E2">
        <w:rPr>
          <w:rFonts w:ascii="Arial" w:hAnsi="Arial" w:cs="Arial"/>
          <w:sz w:val="24"/>
          <w:szCs w:val="24"/>
          <w:lang w:val="en-GB"/>
        </w:rPr>
        <w:t xml:space="preserve"> </w:t>
      </w:r>
      <w:r w:rsidR="0034053A" w:rsidRPr="00A908E2">
        <w:rPr>
          <w:rFonts w:ascii="Arial" w:hAnsi="Arial" w:cs="Arial"/>
          <w:sz w:val="24"/>
          <w:szCs w:val="24"/>
          <w:lang w:val="en-GB"/>
        </w:rPr>
        <w:t xml:space="preserve">Import VAT and Customs Duties accounted for </w:t>
      </w:r>
      <w:r w:rsidR="00D82F4C" w:rsidRPr="00A908E2">
        <w:rPr>
          <w:rFonts w:ascii="Arial" w:hAnsi="Arial" w:cs="Arial"/>
          <w:sz w:val="24"/>
          <w:szCs w:val="24"/>
          <w:lang w:val="en-GB"/>
        </w:rPr>
        <w:t>15.1% and 4.4% of the year’s Total Tax Revenue</w:t>
      </w:r>
      <w:r w:rsidR="00854456" w:rsidRPr="00A908E2">
        <w:rPr>
          <w:rFonts w:ascii="Arial" w:hAnsi="Arial" w:cs="Arial"/>
          <w:sz w:val="24"/>
          <w:szCs w:val="24"/>
          <w:lang w:val="en-GB"/>
        </w:rPr>
        <w:t>,</w:t>
      </w:r>
      <w:r w:rsidR="00D82F4C" w:rsidRPr="00A908E2">
        <w:rPr>
          <w:rFonts w:ascii="Arial" w:hAnsi="Arial" w:cs="Arial"/>
          <w:sz w:val="24"/>
          <w:szCs w:val="24"/>
          <w:lang w:val="en-GB"/>
        </w:rPr>
        <w:t xml:space="preserve"> respectively</w:t>
      </w:r>
      <w:r w:rsidR="00854456" w:rsidRPr="00A908E2">
        <w:rPr>
          <w:rFonts w:ascii="Arial" w:hAnsi="Arial" w:cs="Arial"/>
          <w:sz w:val="24"/>
          <w:szCs w:val="24"/>
          <w:lang w:val="en-GB"/>
        </w:rPr>
        <w:t>.</w:t>
      </w:r>
      <w:r w:rsidR="00D82F4C" w:rsidRPr="00A908E2">
        <w:rPr>
          <w:rFonts w:ascii="Arial" w:hAnsi="Arial" w:cs="Arial"/>
          <w:sz w:val="24"/>
          <w:szCs w:val="24"/>
          <w:lang w:val="en-GB"/>
        </w:rPr>
        <w:t xml:space="preserve"> </w:t>
      </w:r>
      <w:r w:rsidR="00854456" w:rsidRPr="00A908E2">
        <w:rPr>
          <w:rFonts w:ascii="Arial" w:hAnsi="Arial" w:cs="Arial"/>
          <w:sz w:val="24"/>
          <w:szCs w:val="24"/>
          <w:lang w:val="en-GB"/>
        </w:rPr>
        <w:t>In aggregate, these revenue sources account</w:t>
      </w:r>
      <w:r w:rsidR="000E6BFB" w:rsidRPr="00A908E2">
        <w:rPr>
          <w:rFonts w:ascii="Arial" w:hAnsi="Arial" w:cs="Arial"/>
          <w:sz w:val="24"/>
          <w:szCs w:val="24"/>
          <w:lang w:val="en-GB"/>
        </w:rPr>
        <w:t>ed</w:t>
      </w:r>
      <w:r w:rsidR="00854456" w:rsidRPr="00A908E2">
        <w:rPr>
          <w:rFonts w:ascii="Arial" w:hAnsi="Arial" w:cs="Arial"/>
          <w:sz w:val="24"/>
          <w:szCs w:val="24"/>
          <w:lang w:val="en-GB"/>
        </w:rPr>
        <w:t xml:space="preserve"> for</w:t>
      </w:r>
      <w:r w:rsidR="00D82F4C" w:rsidRPr="00A908E2">
        <w:rPr>
          <w:rFonts w:ascii="Arial" w:hAnsi="Arial" w:cs="Arial"/>
          <w:sz w:val="24"/>
          <w:szCs w:val="24"/>
          <w:lang w:val="en-GB"/>
        </w:rPr>
        <w:t xml:space="preserve"> 19.5% </w:t>
      </w:r>
      <w:r w:rsidR="00854456" w:rsidRPr="00A908E2">
        <w:rPr>
          <w:rFonts w:ascii="Arial" w:hAnsi="Arial" w:cs="Arial"/>
          <w:sz w:val="24"/>
          <w:szCs w:val="24"/>
          <w:lang w:val="en-GB"/>
        </w:rPr>
        <w:t>of</w:t>
      </w:r>
      <w:r w:rsidR="000E6BFB" w:rsidRPr="00A908E2">
        <w:rPr>
          <w:rFonts w:ascii="Arial" w:hAnsi="Arial" w:cs="Arial"/>
          <w:sz w:val="24"/>
          <w:szCs w:val="24"/>
          <w:lang w:val="en-GB"/>
        </w:rPr>
        <w:t xml:space="preserve"> Total Tax Revenue</w:t>
      </w:r>
      <w:r w:rsidR="00D82F4C" w:rsidRPr="00A908E2">
        <w:rPr>
          <w:rFonts w:ascii="Arial" w:hAnsi="Arial" w:cs="Arial"/>
          <w:sz w:val="24"/>
          <w:szCs w:val="24"/>
          <w:lang w:val="en-GB"/>
        </w:rPr>
        <w:t xml:space="preserve">, which was higher </w:t>
      </w:r>
      <w:r w:rsidR="00BE06B5" w:rsidRPr="00A908E2">
        <w:rPr>
          <w:rFonts w:ascii="Arial" w:hAnsi="Arial" w:cs="Arial"/>
          <w:sz w:val="24"/>
          <w:szCs w:val="24"/>
          <w:lang w:val="en-GB"/>
        </w:rPr>
        <w:t xml:space="preserve">than </w:t>
      </w:r>
      <w:r w:rsidR="00D82F4C" w:rsidRPr="00A908E2">
        <w:rPr>
          <w:rFonts w:ascii="Arial" w:hAnsi="Arial" w:cs="Arial"/>
          <w:sz w:val="24"/>
          <w:szCs w:val="24"/>
          <w:lang w:val="en-GB"/>
        </w:rPr>
        <w:t xml:space="preserve">the 17.1% average </w:t>
      </w:r>
      <w:r w:rsidR="00BE06B5" w:rsidRPr="00A908E2">
        <w:rPr>
          <w:rFonts w:ascii="Arial" w:hAnsi="Arial" w:cs="Arial"/>
          <w:sz w:val="24"/>
          <w:szCs w:val="24"/>
          <w:lang w:val="en-GB"/>
        </w:rPr>
        <w:t xml:space="preserve">attained </w:t>
      </w:r>
      <w:r w:rsidR="00D82F4C" w:rsidRPr="00A908E2">
        <w:rPr>
          <w:rFonts w:ascii="Arial" w:hAnsi="Arial" w:cs="Arial"/>
          <w:sz w:val="24"/>
          <w:szCs w:val="24"/>
          <w:lang w:val="en-GB"/>
        </w:rPr>
        <w:t>over the preceding five fiscal years</w:t>
      </w:r>
      <w:r w:rsidR="00D10D6C" w:rsidRPr="00A908E2">
        <w:rPr>
          <w:rFonts w:ascii="Arial" w:hAnsi="Arial" w:cs="Arial"/>
          <w:sz w:val="24"/>
          <w:szCs w:val="24"/>
          <w:lang w:val="en-GB"/>
        </w:rPr>
        <w:t xml:space="preserve">. </w:t>
      </w:r>
      <w:r w:rsidR="002943CF" w:rsidRPr="00A908E2">
        <w:rPr>
          <w:rFonts w:ascii="Arial" w:hAnsi="Arial" w:cs="Arial"/>
          <w:sz w:val="24"/>
          <w:szCs w:val="24"/>
          <w:lang w:val="en-GB"/>
        </w:rPr>
        <w:t>F</w:t>
      </w:r>
      <w:r w:rsidR="0034053A" w:rsidRPr="00A908E2">
        <w:rPr>
          <w:rFonts w:ascii="Arial" w:hAnsi="Arial" w:cs="Arial"/>
          <w:sz w:val="24"/>
          <w:szCs w:val="24"/>
          <w:lang w:val="en-GB"/>
        </w:rPr>
        <w:t xml:space="preserve">or the </w:t>
      </w:r>
      <w:r w:rsidR="006B1F25" w:rsidRPr="00A908E2">
        <w:rPr>
          <w:rFonts w:ascii="Arial" w:hAnsi="Arial" w:cs="Arial"/>
          <w:sz w:val="24"/>
          <w:szCs w:val="24"/>
          <w:lang w:val="en-GB"/>
        </w:rPr>
        <w:t>2022</w:t>
      </w:r>
      <w:r w:rsidR="0034053A" w:rsidRPr="00A908E2">
        <w:rPr>
          <w:rFonts w:ascii="Arial" w:hAnsi="Arial" w:cs="Arial"/>
          <w:sz w:val="24"/>
          <w:szCs w:val="24"/>
          <w:lang w:val="en-GB"/>
        </w:rPr>
        <w:t>/</w:t>
      </w:r>
      <w:r w:rsidR="006B1F25" w:rsidRPr="00A908E2">
        <w:rPr>
          <w:rFonts w:ascii="Arial" w:hAnsi="Arial" w:cs="Arial"/>
          <w:sz w:val="24"/>
          <w:szCs w:val="24"/>
          <w:lang w:val="en-GB"/>
        </w:rPr>
        <w:t xml:space="preserve">23 </w:t>
      </w:r>
      <w:r w:rsidR="0034053A" w:rsidRPr="00A908E2">
        <w:rPr>
          <w:rFonts w:ascii="Arial" w:hAnsi="Arial" w:cs="Arial"/>
          <w:sz w:val="24"/>
          <w:szCs w:val="24"/>
          <w:lang w:val="en-GB"/>
        </w:rPr>
        <w:t>fiscal year</w:t>
      </w:r>
      <w:r w:rsidR="00DA4C6E" w:rsidRPr="00A908E2">
        <w:rPr>
          <w:rFonts w:ascii="Arial" w:hAnsi="Arial" w:cs="Arial"/>
          <w:sz w:val="24"/>
          <w:szCs w:val="24"/>
          <w:lang w:val="en-GB"/>
        </w:rPr>
        <w:t>:</w:t>
      </w:r>
    </w:p>
    <w:p w14:paraId="459C2BF1" w14:textId="40AF6D56" w:rsidR="00CC3D71" w:rsidRPr="001F32E9" w:rsidRDefault="00D10D6C" w:rsidP="00D7005B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Import VAT was collected </w:t>
      </w:r>
      <w:r w:rsidR="00BE06B5">
        <w:rPr>
          <w:rFonts w:ascii="Arial" w:eastAsiaTheme="minorEastAsia" w:hAnsi="Arial" w:cs="Arial"/>
          <w:sz w:val="24"/>
          <w:szCs w:val="24"/>
        </w:rPr>
        <w:t xml:space="preserve">in the </w:t>
      </w:r>
      <w:r w:rsidR="00BE06B5" w:rsidRPr="006C4594">
        <w:rPr>
          <w:rFonts w:ascii="Arial" w:eastAsiaTheme="minorEastAsia" w:hAnsi="Arial" w:cs="Arial"/>
          <w:sz w:val="24"/>
          <w:szCs w:val="24"/>
        </w:rPr>
        <w:t>main</w:t>
      </w:r>
      <w:r w:rsidR="006C4594" w:rsidRPr="006C4594">
        <w:rPr>
          <w:rFonts w:ascii="Arial" w:eastAsiaTheme="minorEastAsia" w:hAnsi="Arial" w:cs="Arial"/>
          <w:sz w:val="24"/>
          <w:szCs w:val="24"/>
        </w:rPr>
        <w:t xml:space="preserve"> </w:t>
      </w:r>
      <w:r w:rsidRPr="006C4594">
        <w:rPr>
          <w:rFonts w:ascii="Arial" w:eastAsiaTheme="minorEastAsia" w:hAnsi="Arial" w:cs="Arial"/>
          <w:sz w:val="24"/>
          <w:szCs w:val="24"/>
          <w:lang w:val="en-GB"/>
        </w:rPr>
        <w:t>from</w:t>
      </w:r>
      <w:r w:rsidRPr="001F32E9">
        <w:rPr>
          <w:rFonts w:ascii="Arial" w:eastAsiaTheme="minorEastAsia" w:hAnsi="Arial" w:cs="Arial"/>
          <w:sz w:val="24"/>
          <w:szCs w:val="24"/>
          <w:lang w:val="en-GB"/>
        </w:rPr>
        <w:t xml:space="preserve"> the importation of </w:t>
      </w:r>
      <w:r w:rsidR="00BE06B5" w:rsidRPr="00896959">
        <w:rPr>
          <w:rFonts w:ascii="Arial" w:eastAsiaTheme="minorEastAsia" w:hAnsi="Arial" w:cs="Arial"/>
          <w:i/>
          <w:sz w:val="24"/>
          <w:szCs w:val="24"/>
        </w:rPr>
        <w:t>Machinery and Electronics</w:t>
      </w:r>
      <w:r w:rsidR="00BE06B5" w:rsidRPr="00896959">
        <w:rPr>
          <w:rFonts w:ascii="Arial" w:eastAsiaTheme="minorEastAsia" w:hAnsi="Arial" w:cs="Arial"/>
          <w:sz w:val="24"/>
          <w:szCs w:val="24"/>
        </w:rPr>
        <w:t xml:space="preserve"> (26.4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%);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Chemical Products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13.8</w:t>
      </w:r>
      <w:r w:rsidR="00BE06B5" w:rsidRPr="00BE4FAD">
        <w:rPr>
          <w:rFonts w:ascii="Arial" w:eastAsiaTheme="minorEastAsia" w:hAnsi="Arial" w:cs="Arial"/>
          <w:sz w:val="24"/>
          <w:szCs w:val="24"/>
        </w:rPr>
        <w:t>%)</w:t>
      </w:r>
      <w:r w:rsidR="000E6BFB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and</w:t>
      </w:r>
      <w:r w:rsidR="000E6BFB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Vehicles, Aircraft and Vessels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11.2</w:t>
      </w:r>
      <w:r w:rsidR="00BE06B5" w:rsidRPr="00BE4FAD">
        <w:rPr>
          <w:rFonts w:ascii="Arial" w:eastAsiaTheme="minorEastAsia" w:hAnsi="Arial" w:cs="Arial"/>
          <w:sz w:val="24"/>
          <w:szCs w:val="24"/>
        </w:rPr>
        <w:t>%)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.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I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mport 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VAT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from the top-three contributing economic sectors made up 87.7% of the total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,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namely </w:t>
      </w:r>
      <w:r w:rsidR="002228DB">
        <w:rPr>
          <w:rFonts w:ascii="Arial" w:eastAsiaTheme="minorEastAsia" w:hAnsi="Arial" w:cs="Arial"/>
          <w:iCs/>
          <w:sz w:val="24"/>
          <w:szCs w:val="24"/>
          <w:lang w:val="en-GB"/>
        </w:rPr>
        <w:t>W</w:t>
      </w:r>
      <w:r w:rsidR="002228DB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holesale 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and retail trade, catering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,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and accommodation sector (</w:t>
      </w:r>
      <w:r w:rsidR="00BE06B5" w:rsidRPr="00BE4FAD">
        <w:rPr>
          <w:rFonts w:ascii="Arial" w:eastAsiaTheme="minorEastAsia" w:hAnsi="Arial" w:cs="Arial"/>
          <w:i/>
          <w:iCs/>
          <w:sz w:val="24"/>
          <w:szCs w:val="24"/>
        </w:rPr>
        <w:t>Tertiary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) at 38.2%, followed by the </w:t>
      </w:r>
      <w:r w:rsidR="002228DB">
        <w:rPr>
          <w:rFonts w:ascii="Arial" w:eastAsiaTheme="minorEastAsia" w:hAnsi="Arial" w:cs="Arial"/>
          <w:iCs/>
          <w:sz w:val="24"/>
          <w:szCs w:val="24"/>
          <w:lang w:val="en-GB"/>
        </w:rPr>
        <w:t>M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anufacturing sector (</w:t>
      </w:r>
      <w:r w:rsidR="00BE06B5" w:rsidRPr="00BE4FAD">
        <w:rPr>
          <w:rFonts w:ascii="Arial" w:eastAsiaTheme="minorEastAsia" w:hAnsi="Arial" w:cs="Arial"/>
          <w:i/>
          <w:iCs/>
          <w:sz w:val="24"/>
          <w:szCs w:val="24"/>
        </w:rPr>
        <w:t>Secondary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) at 30.8% and </w:t>
      </w:r>
      <w:r w:rsidR="002228DB">
        <w:rPr>
          <w:rFonts w:ascii="Arial" w:eastAsiaTheme="minorEastAsia" w:hAnsi="Arial" w:cs="Arial"/>
          <w:iCs/>
          <w:sz w:val="24"/>
          <w:szCs w:val="24"/>
          <w:lang w:val="en-GB"/>
        </w:rPr>
        <w:t>F</w:t>
      </w:r>
      <w:r w:rsidR="002228DB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inancial 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intermediation, insurance, real-estate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,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 and business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-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services (</w:t>
      </w:r>
      <w:r w:rsidR="00BE06B5" w:rsidRPr="00BE4FAD">
        <w:rPr>
          <w:rFonts w:ascii="Arial" w:eastAsiaTheme="minorEastAsia" w:hAnsi="Arial" w:cs="Arial"/>
          <w:i/>
          <w:iCs/>
          <w:sz w:val="24"/>
          <w:szCs w:val="24"/>
        </w:rPr>
        <w:t>Tertiary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 xml:space="preserve">) 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(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18.6%</w:t>
      </w:r>
      <w:r w:rsidR="00AB326A">
        <w:rPr>
          <w:rFonts w:ascii="Arial" w:eastAsiaTheme="minorEastAsia" w:hAnsi="Arial" w:cs="Arial"/>
          <w:iCs/>
          <w:sz w:val="24"/>
          <w:szCs w:val="24"/>
          <w:lang w:val="en-GB"/>
        </w:rPr>
        <w:t>)</w:t>
      </w:r>
      <w:r w:rsidR="00854456" w:rsidRPr="00854456">
        <w:rPr>
          <w:rFonts w:ascii="Arial" w:eastAsiaTheme="minorEastAsia" w:hAnsi="Arial" w:cs="Arial"/>
          <w:iCs/>
          <w:sz w:val="24"/>
          <w:szCs w:val="24"/>
          <w:lang w:val="en-GB"/>
        </w:rPr>
        <w:t>.</w:t>
      </w:r>
    </w:p>
    <w:p w14:paraId="134E8F20" w14:textId="2EE94E61" w:rsidR="000E3BD1" w:rsidRPr="001F32E9" w:rsidRDefault="00911DA7" w:rsidP="000E3BD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val="en-GB"/>
        </w:rPr>
      </w:pPr>
      <w:r>
        <w:rPr>
          <w:rFonts w:ascii="Arial" w:eastAsiaTheme="minorEastAsia" w:hAnsi="Arial" w:cs="Arial"/>
          <w:sz w:val="24"/>
          <w:szCs w:val="24"/>
          <w:lang w:val="en-GB"/>
        </w:rPr>
        <w:t>T</w:t>
      </w:r>
      <w:r w:rsidR="004D5385" w:rsidRPr="00412BEE">
        <w:rPr>
          <w:rFonts w:ascii="Arial" w:eastAsiaTheme="minorEastAsia" w:hAnsi="Arial" w:cs="Arial"/>
          <w:sz w:val="24"/>
          <w:szCs w:val="24"/>
          <w:lang w:val="en-GB"/>
        </w:rPr>
        <w:t xml:space="preserve">he largest contributors to </w:t>
      </w:r>
      <w:r w:rsidR="00BE06B5">
        <w:rPr>
          <w:rFonts w:ascii="Arial" w:eastAsiaTheme="minorEastAsia" w:hAnsi="Arial" w:cs="Arial"/>
          <w:sz w:val="24"/>
          <w:szCs w:val="24"/>
          <w:lang w:val="en-GB"/>
        </w:rPr>
        <w:t>C</w:t>
      </w:r>
      <w:r w:rsidR="00BE06B5" w:rsidRPr="00412BEE">
        <w:rPr>
          <w:rFonts w:ascii="Arial" w:eastAsiaTheme="minorEastAsia" w:hAnsi="Arial" w:cs="Arial"/>
          <w:sz w:val="24"/>
          <w:szCs w:val="24"/>
          <w:lang w:val="en-GB"/>
        </w:rPr>
        <w:t xml:space="preserve">ustoms </w:t>
      </w:r>
      <w:r w:rsidR="00BE06B5">
        <w:rPr>
          <w:rFonts w:ascii="Arial" w:eastAsiaTheme="minorEastAsia" w:hAnsi="Arial" w:cs="Arial"/>
          <w:sz w:val="24"/>
          <w:szCs w:val="24"/>
          <w:lang w:val="en-GB"/>
        </w:rPr>
        <w:t>D</w:t>
      </w:r>
      <w:r w:rsidR="00BE06B5" w:rsidRPr="00412BEE">
        <w:rPr>
          <w:rFonts w:ascii="Arial" w:eastAsiaTheme="minorEastAsia" w:hAnsi="Arial" w:cs="Arial"/>
          <w:sz w:val="24"/>
          <w:szCs w:val="24"/>
          <w:lang w:val="en-GB"/>
        </w:rPr>
        <w:t>uties</w:t>
      </w:r>
      <w:r w:rsidR="004D5385" w:rsidRPr="00412BEE">
        <w:rPr>
          <w:rFonts w:ascii="Arial" w:eastAsiaTheme="minorEastAsia" w:hAnsi="Arial" w:cs="Arial"/>
          <w:sz w:val="24"/>
          <w:szCs w:val="24"/>
          <w:lang w:val="en-GB"/>
        </w:rPr>
        <w:t xml:space="preserve"> were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Vehicles, Aircraft and Vessels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29.0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%);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Textiles and Clothing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15.9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%);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Food, Beverages and Tobacco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13.4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%) as well as </w:t>
      </w:r>
      <w:r w:rsidR="00BE06B5" w:rsidRPr="00BE4FAD">
        <w:rPr>
          <w:rFonts w:ascii="Arial" w:eastAsiaTheme="minorEastAsia" w:hAnsi="Arial" w:cs="Arial"/>
          <w:i/>
          <w:sz w:val="24"/>
          <w:szCs w:val="24"/>
        </w:rPr>
        <w:t>Machinery and Electronics</w:t>
      </w:r>
      <w:r w:rsidR="00BE06B5" w:rsidRPr="00BE4FAD">
        <w:rPr>
          <w:rFonts w:ascii="Arial" w:eastAsiaTheme="minorEastAsia" w:hAnsi="Arial" w:cs="Arial"/>
          <w:sz w:val="24"/>
          <w:szCs w:val="24"/>
        </w:rPr>
        <w:t xml:space="preserve"> (</w:t>
      </w:r>
      <w:r w:rsidR="00BE06B5" w:rsidRPr="00896959">
        <w:rPr>
          <w:rFonts w:ascii="Arial" w:eastAsiaTheme="minorEastAsia" w:hAnsi="Arial" w:cs="Arial"/>
          <w:sz w:val="24"/>
          <w:szCs w:val="24"/>
        </w:rPr>
        <w:t>12.3%)</w:t>
      </w:r>
      <w:r w:rsidR="00DA4C6E" w:rsidRPr="001F32E9">
        <w:rPr>
          <w:rFonts w:ascii="Arial" w:eastAsiaTheme="minorEastAsia" w:hAnsi="Arial" w:cs="Arial"/>
          <w:sz w:val="24"/>
          <w:szCs w:val="24"/>
          <w:lang w:val="en-GB"/>
        </w:rPr>
        <w:t>.</w:t>
      </w:r>
    </w:p>
    <w:p w14:paraId="637E55FE" w14:textId="77777777" w:rsidR="000E3BD1" w:rsidRPr="001F32E9" w:rsidRDefault="000E3BD1" w:rsidP="00D7005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00B5E7E4" w14:textId="7CA61292" w:rsidR="00694314" w:rsidRPr="001F32E9" w:rsidRDefault="00AB6F5D" w:rsidP="00D33DB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Finally, Chapter 6</w:t>
      </w:r>
      <w:r w:rsidR="00FF6A2B">
        <w:rPr>
          <w:rFonts w:ascii="Arial" w:hAnsi="Arial" w:cs="Arial"/>
          <w:sz w:val="24"/>
          <w:szCs w:val="24"/>
          <w:lang w:val="en-GB"/>
        </w:rPr>
        <w:t xml:space="preserve"> </w:t>
      </w:r>
      <w:r w:rsidR="007464F7">
        <w:rPr>
          <w:rFonts w:ascii="Arial" w:hAnsi="Arial" w:cs="Arial"/>
          <w:sz w:val="24"/>
          <w:szCs w:val="24"/>
          <w:lang w:val="en-GB"/>
        </w:rPr>
        <w:t>deals with other taxes and collections,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 </w:t>
      </w:r>
      <w:r w:rsidR="00FF6A2B" w:rsidRPr="00896959">
        <w:rPr>
          <w:rFonts w:ascii="Arial" w:hAnsi="Arial" w:cs="Arial"/>
          <w:sz w:val="24"/>
          <w:szCs w:val="24"/>
          <w:lang w:val="en-GB"/>
        </w:rPr>
        <w:t>such as Capital Gains Tax (CGT), Transfer Duty, Mineral and Petroleum Resources Royalty (MPRR), Southern African Customs Union (SACU) payments and Diesel refunds</w:t>
      </w:r>
      <w:r w:rsidRPr="001F32E9">
        <w:rPr>
          <w:rFonts w:ascii="Arial" w:hAnsi="Arial" w:cs="Arial"/>
          <w:sz w:val="24"/>
          <w:szCs w:val="24"/>
          <w:lang w:val="en-GB"/>
        </w:rPr>
        <w:t>.</w:t>
      </w:r>
      <w:r w:rsidR="00BD11AC" w:rsidRPr="001F32E9">
        <w:rPr>
          <w:rFonts w:ascii="Arial" w:hAnsi="Arial" w:cs="Arial"/>
          <w:sz w:val="24"/>
          <w:szCs w:val="24"/>
          <w:lang w:val="en-GB"/>
        </w:rPr>
        <w:t xml:space="preserve"> In </w:t>
      </w:r>
      <w:r w:rsidR="006B1F25" w:rsidRPr="001F32E9">
        <w:rPr>
          <w:rFonts w:ascii="Arial" w:hAnsi="Arial" w:cs="Arial"/>
          <w:sz w:val="24"/>
          <w:szCs w:val="24"/>
          <w:lang w:val="en-GB"/>
        </w:rPr>
        <w:t>2022</w:t>
      </w:r>
      <w:r w:rsidR="00694314" w:rsidRPr="001F32E9">
        <w:rPr>
          <w:rFonts w:ascii="Arial" w:hAnsi="Arial" w:cs="Arial"/>
          <w:sz w:val="24"/>
          <w:szCs w:val="24"/>
          <w:lang w:val="en-GB"/>
        </w:rPr>
        <w:t>/</w:t>
      </w:r>
      <w:r w:rsidR="006B1F25" w:rsidRPr="001F32E9">
        <w:rPr>
          <w:rFonts w:ascii="Arial" w:hAnsi="Arial" w:cs="Arial"/>
          <w:sz w:val="24"/>
          <w:szCs w:val="24"/>
          <w:lang w:val="en-GB"/>
        </w:rPr>
        <w:t>23</w:t>
      </w:r>
      <w:r w:rsidR="00BD11AC" w:rsidRPr="001F32E9">
        <w:rPr>
          <w:rFonts w:ascii="Arial" w:hAnsi="Arial" w:cs="Arial"/>
          <w:sz w:val="24"/>
          <w:szCs w:val="24"/>
          <w:lang w:val="en-GB"/>
        </w:rPr>
        <w:t xml:space="preserve">, </w:t>
      </w:r>
      <w:r w:rsidR="007464F7">
        <w:rPr>
          <w:rFonts w:ascii="Arial" w:hAnsi="Arial" w:cs="Arial"/>
          <w:sz w:val="24"/>
          <w:szCs w:val="24"/>
          <w:lang w:val="en-GB"/>
        </w:rPr>
        <w:t xml:space="preserve">SARS raised </w:t>
      </w:r>
      <w:r w:rsidR="006B1F25" w:rsidRPr="001F32E9">
        <w:rPr>
          <w:rFonts w:ascii="Arial" w:hAnsi="Arial" w:cs="Arial"/>
          <w:sz w:val="24"/>
          <w:szCs w:val="24"/>
          <w:lang w:val="en-GB"/>
        </w:rPr>
        <w:t>R22.2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6B1F25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7464F7">
        <w:rPr>
          <w:rFonts w:ascii="Arial" w:hAnsi="Arial" w:cs="Arial"/>
          <w:sz w:val="24"/>
          <w:szCs w:val="24"/>
          <w:lang w:val="en-GB"/>
        </w:rPr>
        <w:t>in capital-gains tax</w:t>
      </w:r>
      <w:r w:rsidR="00DA4C6E" w:rsidRPr="001F32E9">
        <w:rPr>
          <w:rFonts w:ascii="Arial" w:hAnsi="Arial" w:cs="Arial"/>
          <w:sz w:val="24"/>
          <w:szCs w:val="24"/>
          <w:lang w:val="en-GB"/>
        </w:rPr>
        <w:t xml:space="preserve">, of which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R9.8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DA4C6E" w:rsidRPr="001F32E9">
        <w:rPr>
          <w:rFonts w:ascii="Arial" w:hAnsi="Arial" w:cs="Arial"/>
          <w:sz w:val="24"/>
          <w:szCs w:val="24"/>
          <w:lang w:val="en-GB"/>
        </w:rPr>
        <w:t xml:space="preserve">was attributable to individuals and trusts and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R12.5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DA4C6E" w:rsidRPr="001F32E9">
        <w:rPr>
          <w:rFonts w:ascii="Arial" w:hAnsi="Arial" w:cs="Arial"/>
          <w:sz w:val="24"/>
          <w:szCs w:val="24"/>
          <w:lang w:val="en-GB"/>
        </w:rPr>
        <w:t>to companies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. </w:t>
      </w:r>
      <w:r w:rsidR="007464F7">
        <w:rPr>
          <w:rFonts w:ascii="Arial" w:hAnsi="Arial" w:cs="Arial"/>
          <w:sz w:val="24"/>
          <w:szCs w:val="24"/>
          <w:lang w:val="en-GB"/>
        </w:rPr>
        <w:t>Since the introduction of capital-gains tax in October 2001, SARS raised a</w:t>
      </w:r>
      <w:r w:rsidR="00694314" w:rsidRPr="001F32E9">
        <w:rPr>
          <w:rFonts w:ascii="Arial" w:hAnsi="Arial" w:cs="Arial"/>
          <w:sz w:val="24"/>
          <w:szCs w:val="24"/>
          <w:lang w:val="en-GB"/>
        </w:rPr>
        <w:t xml:space="preserve">n aggregate of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R211.5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</w:t>
      </w:r>
      <w:r w:rsidR="00DA4C6E" w:rsidRPr="001F32E9">
        <w:rPr>
          <w:rFonts w:ascii="Arial" w:hAnsi="Arial" w:cs="Arial"/>
          <w:sz w:val="24"/>
          <w:szCs w:val="24"/>
          <w:lang w:val="en-GB"/>
        </w:rPr>
        <w:t xml:space="preserve">, with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R98.4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DA4C6E" w:rsidRPr="001F32E9">
        <w:rPr>
          <w:rFonts w:ascii="Arial" w:hAnsi="Arial" w:cs="Arial"/>
          <w:sz w:val="24"/>
          <w:szCs w:val="24"/>
          <w:lang w:val="en-GB"/>
        </w:rPr>
        <w:t xml:space="preserve">from individuals and trusts and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R113.1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DA4C6E" w:rsidRPr="001F32E9">
        <w:rPr>
          <w:rFonts w:ascii="Arial" w:hAnsi="Arial" w:cs="Arial"/>
          <w:sz w:val="24"/>
          <w:szCs w:val="24"/>
          <w:lang w:val="en-GB"/>
        </w:rPr>
        <w:t>from companies</w:t>
      </w:r>
      <w:r w:rsidR="00694314" w:rsidRPr="001F32E9">
        <w:rPr>
          <w:rFonts w:ascii="Arial" w:hAnsi="Arial" w:cs="Arial"/>
          <w:sz w:val="24"/>
          <w:szCs w:val="24"/>
          <w:lang w:val="en-GB"/>
        </w:rPr>
        <w:t>.</w:t>
      </w:r>
      <w:r w:rsidR="00DA4C6E" w:rsidRPr="001F32E9">
        <w:rPr>
          <w:rFonts w:ascii="Arial" w:hAnsi="Arial" w:cs="Arial"/>
          <w:sz w:val="24"/>
          <w:szCs w:val="24"/>
          <w:lang w:val="en-GB"/>
        </w:rPr>
        <w:t xml:space="preserve"> MPRR payments by extractors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contracted by R3.1</w:t>
      </w:r>
      <w:r w:rsidR="007464F7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(11.0%) from R28.5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to R25.3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F5717A">
        <w:rPr>
          <w:rFonts w:ascii="Arial" w:hAnsi="Arial" w:cs="Arial"/>
          <w:sz w:val="24"/>
          <w:szCs w:val="24"/>
          <w:lang w:val="en-GB"/>
        </w:rPr>
        <w:t>because of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a decline in</w:t>
      </w:r>
      <w:r w:rsidR="00FF6A2B">
        <w:rPr>
          <w:rFonts w:ascii="Arial" w:hAnsi="Arial" w:cs="Arial"/>
          <w:sz w:val="24"/>
          <w:szCs w:val="24"/>
          <w:lang w:val="en-GB"/>
        </w:rPr>
        <w:t xml:space="preserve">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platinum and iron ore</w:t>
      </w:r>
      <w:r w:rsidR="00BE06B5" w:rsidRPr="00BE06B5">
        <w:rPr>
          <w:rFonts w:ascii="Arial" w:hAnsi="Arial" w:cs="Arial"/>
          <w:sz w:val="24"/>
          <w:szCs w:val="24"/>
          <w:lang w:val="en-GB"/>
        </w:rPr>
        <w:t xml:space="preserve"> </w:t>
      </w:r>
      <w:r w:rsidR="00BE06B5" w:rsidRPr="001F32E9">
        <w:rPr>
          <w:rFonts w:ascii="Arial" w:hAnsi="Arial" w:cs="Arial"/>
          <w:sz w:val="24"/>
          <w:szCs w:val="24"/>
          <w:lang w:val="en-GB"/>
        </w:rPr>
        <w:t>commodity prices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. This contraction was not as severe as expected </w:t>
      </w:r>
      <w:r w:rsidR="00A908E2">
        <w:rPr>
          <w:rFonts w:ascii="Arial" w:hAnsi="Arial" w:cs="Arial"/>
          <w:sz w:val="24"/>
          <w:szCs w:val="24"/>
          <w:lang w:val="en-GB"/>
        </w:rPr>
        <w:t>due to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a surge in coal prices that </w:t>
      </w:r>
      <w:r w:rsidR="00FF6A2B">
        <w:rPr>
          <w:rFonts w:ascii="Arial" w:hAnsi="Arial" w:cs="Arial"/>
          <w:sz w:val="24"/>
          <w:szCs w:val="24"/>
          <w:lang w:val="en-GB"/>
        </w:rPr>
        <w:t>partially</w:t>
      </w:r>
      <w:r w:rsidR="00FF6A2B" w:rsidRPr="001F32E9">
        <w:rPr>
          <w:rFonts w:ascii="Arial" w:hAnsi="Arial" w:cs="Arial"/>
          <w:sz w:val="24"/>
          <w:szCs w:val="24"/>
          <w:lang w:val="en-GB"/>
        </w:rPr>
        <w:t xml:space="preserve"> offset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the decline in MPRR payments</w:t>
      </w:r>
      <w:r w:rsidR="00DA4C6E" w:rsidRPr="001F32E9">
        <w:rPr>
          <w:rFonts w:ascii="Arial" w:hAnsi="Arial" w:cs="Arial"/>
          <w:sz w:val="24"/>
          <w:szCs w:val="24"/>
          <w:lang w:val="en-GB"/>
        </w:rPr>
        <w:t>.</w:t>
      </w:r>
      <w:r w:rsidR="00CC123B" w:rsidRPr="001F32E9">
        <w:rPr>
          <w:lang w:val="en-GB"/>
        </w:rPr>
        <w:t xml:space="preserve"> 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The SACU </w:t>
      </w:r>
      <w:r w:rsidR="00D33DB2" w:rsidRPr="001F32E9">
        <w:rPr>
          <w:rFonts w:ascii="Arial" w:hAnsi="Arial" w:cs="Arial"/>
          <w:sz w:val="24"/>
          <w:szCs w:val="24"/>
          <w:lang w:val="en-GB"/>
        </w:rPr>
        <w:t>Common Revenue Pool (</w:t>
      </w:r>
      <w:r w:rsidR="00CC123B" w:rsidRPr="001F32E9">
        <w:rPr>
          <w:rFonts w:ascii="Arial" w:hAnsi="Arial" w:cs="Arial"/>
          <w:sz w:val="24"/>
          <w:szCs w:val="24"/>
          <w:lang w:val="en-GB"/>
        </w:rPr>
        <w:t>CRP</w:t>
      </w:r>
      <w:r w:rsidR="00D33DB2" w:rsidRPr="001F32E9">
        <w:rPr>
          <w:rFonts w:ascii="Arial" w:hAnsi="Arial" w:cs="Arial"/>
          <w:sz w:val="24"/>
          <w:szCs w:val="24"/>
          <w:lang w:val="en-GB"/>
        </w:rPr>
        <w:t>)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collections rebounded by 19.7% to R134.6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in 2022/23 from R112.4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in 2021/22. The 2022/23 </w:t>
      </w:r>
      <w:r w:rsidR="00F5717A">
        <w:rPr>
          <w:rFonts w:ascii="Arial" w:hAnsi="Arial" w:cs="Arial"/>
          <w:sz w:val="24"/>
          <w:szCs w:val="24"/>
          <w:lang w:val="en-GB"/>
        </w:rPr>
        <w:t>Customs Revenue Pool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collections of R134.6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exceeded the revised estimate of R133.9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by R0.76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(0.6%). South Africa contributed </w:t>
      </w:r>
      <w:r w:rsidR="00CC123B" w:rsidRPr="001F32E9">
        <w:rPr>
          <w:rFonts w:ascii="Arial" w:hAnsi="Arial" w:cs="Arial"/>
          <w:sz w:val="24"/>
          <w:szCs w:val="24"/>
          <w:lang w:val="en-GB"/>
        </w:rPr>
        <w:lastRenderedPageBreak/>
        <w:t xml:space="preserve">97.4% to the </w:t>
      </w:r>
      <w:r w:rsidR="00F5717A">
        <w:rPr>
          <w:rFonts w:ascii="Arial" w:hAnsi="Arial" w:cs="Arial"/>
          <w:sz w:val="24"/>
          <w:szCs w:val="24"/>
          <w:lang w:val="en-GB"/>
        </w:rPr>
        <w:t>Customs Revenue Pool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total in 2022/23. Shares received by South Africa in 2022/23 amounted to R34.4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billion, equal to 44.1% of the R78.1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billion </w:t>
      </w:r>
      <w:r w:rsidR="008E41EA">
        <w:rPr>
          <w:rFonts w:ascii="Arial" w:hAnsi="Arial" w:cs="Arial"/>
          <w:sz w:val="24"/>
          <w:szCs w:val="24"/>
          <w:lang w:val="en-GB"/>
        </w:rPr>
        <w:t xml:space="preserve">shared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revenue pool</w:t>
      </w:r>
      <w:r w:rsidR="008E41EA">
        <w:rPr>
          <w:rFonts w:ascii="Arial" w:hAnsi="Arial" w:cs="Arial"/>
          <w:sz w:val="24"/>
          <w:szCs w:val="24"/>
          <w:lang w:val="en-GB"/>
        </w:rPr>
        <w:t>. T</w:t>
      </w:r>
      <w:r w:rsidR="00D33DB2" w:rsidRPr="001F32E9">
        <w:rPr>
          <w:rFonts w:ascii="Arial" w:hAnsi="Arial" w:cs="Arial"/>
          <w:sz w:val="24"/>
          <w:szCs w:val="24"/>
          <w:lang w:val="en-GB"/>
        </w:rPr>
        <w:t xml:space="preserve">he portion for Botswana, Eswatini (formerly Swaziland), Lesotho and Namibia (commonly referred to as 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BELN</w:t>
      </w:r>
      <w:r w:rsidR="00D33DB2" w:rsidRPr="001F32E9">
        <w:rPr>
          <w:rFonts w:ascii="Arial" w:hAnsi="Arial" w:cs="Arial"/>
          <w:sz w:val="24"/>
          <w:szCs w:val="24"/>
          <w:lang w:val="en-GB"/>
        </w:rPr>
        <w:t>)</w:t>
      </w:r>
      <w:r w:rsidR="00CC123B" w:rsidRPr="001F32E9">
        <w:rPr>
          <w:rFonts w:ascii="Arial" w:hAnsi="Arial" w:cs="Arial"/>
          <w:sz w:val="24"/>
          <w:szCs w:val="24"/>
          <w:lang w:val="en-GB"/>
        </w:rPr>
        <w:t xml:space="preserve"> amounted to R43.7</w:t>
      </w:r>
      <w:r w:rsidR="00F5717A">
        <w:rPr>
          <w:rFonts w:ascii="Arial" w:hAnsi="Arial" w:cs="Arial"/>
          <w:sz w:val="24"/>
          <w:szCs w:val="24"/>
          <w:lang w:val="en-GB"/>
        </w:rPr>
        <w:t> </w:t>
      </w:r>
      <w:r w:rsidR="00CC123B" w:rsidRPr="001F32E9">
        <w:rPr>
          <w:rFonts w:ascii="Arial" w:hAnsi="Arial" w:cs="Arial"/>
          <w:sz w:val="24"/>
          <w:szCs w:val="24"/>
          <w:lang w:val="en-GB"/>
        </w:rPr>
        <w:t>billion (55.9%).</w:t>
      </w:r>
    </w:p>
    <w:p w14:paraId="5D8DB78B" w14:textId="77777777" w:rsidR="0056643C" w:rsidRPr="001F32E9" w:rsidRDefault="0056643C" w:rsidP="00BB1E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</w:p>
    <w:p w14:paraId="15379D08" w14:textId="0B29D965" w:rsidR="006B1F25" w:rsidRPr="001F32E9" w:rsidRDefault="00270BE1" w:rsidP="006B1F2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The </w:t>
      </w:r>
      <w:r w:rsidR="006B1F25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2023 </w:t>
      </w:r>
      <w:r w:rsidRPr="002B7D0C">
        <w:rPr>
          <w:rFonts w:ascii="Arial" w:eastAsia="Times New Roman" w:hAnsi="Arial" w:cs="Arial"/>
          <w:sz w:val="24"/>
          <w:szCs w:val="24"/>
          <w:lang w:val="en-GB" w:eastAsia="en-ZA"/>
        </w:rPr>
        <w:t>Tax Statistics</w:t>
      </w: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documents are available </w:t>
      </w:r>
      <w:r w:rsidR="005B3430" w:rsidRPr="001F32E9">
        <w:rPr>
          <w:rFonts w:ascii="Arial" w:eastAsia="Times New Roman" w:hAnsi="Arial" w:cs="Arial"/>
          <w:sz w:val="24"/>
          <w:szCs w:val="24"/>
          <w:lang w:val="en-GB" w:eastAsia="en-ZA"/>
        </w:rPr>
        <w:t>on the SARS and National Treasury website</w:t>
      </w:r>
      <w:r w:rsidR="00656A1D">
        <w:rPr>
          <w:rFonts w:ascii="Arial" w:eastAsia="Times New Roman" w:hAnsi="Arial" w:cs="Arial"/>
          <w:sz w:val="24"/>
          <w:szCs w:val="24"/>
          <w:lang w:val="en-GB" w:eastAsia="en-ZA"/>
        </w:rPr>
        <w:t>s</w:t>
      </w:r>
      <w:r w:rsidR="005B3430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at </w:t>
      </w:r>
      <w:hyperlink r:id="rId14" w:history="1">
        <w:r w:rsidR="005B3430" w:rsidRPr="001F32E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en-GB" w:eastAsia="en-ZA"/>
          </w:rPr>
          <w:t>www.sars.gov.za</w:t>
        </w:r>
      </w:hyperlink>
      <w:r w:rsidR="005B3430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and </w:t>
      </w:r>
      <w:hyperlink r:id="rId15" w:history="1">
        <w:r w:rsidR="007E63E1" w:rsidRPr="001F32E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val="en-GB" w:eastAsia="en-ZA"/>
          </w:rPr>
          <w:t>www.treasury.gov.za</w:t>
        </w:r>
      </w:hyperlink>
      <w:r w:rsidR="00E62F1A" w:rsidRPr="001F32E9">
        <w:rPr>
          <w:rStyle w:val="Hyperlink"/>
          <w:rFonts w:ascii="Arial" w:eastAsia="Times New Roman" w:hAnsi="Arial" w:cs="Arial"/>
          <w:color w:val="auto"/>
          <w:sz w:val="24"/>
          <w:szCs w:val="24"/>
          <w:lang w:val="en-GB" w:eastAsia="en-ZA"/>
        </w:rPr>
        <w:t>.</w:t>
      </w:r>
      <w:r w:rsidR="006B1F25" w:rsidRPr="001F32E9">
        <w:rPr>
          <w:rStyle w:val="Hyperlink"/>
          <w:rFonts w:ascii="Arial" w:eastAsia="Times New Roman" w:hAnsi="Arial" w:cs="Arial"/>
          <w:color w:val="auto"/>
          <w:sz w:val="24"/>
          <w:szCs w:val="24"/>
          <w:lang w:val="en-GB" w:eastAsia="en-ZA"/>
        </w:rPr>
        <w:t xml:space="preserve"> </w:t>
      </w:r>
      <w:r w:rsidR="006B1F25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To </w:t>
      </w:r>
      <w:r w:rsidR="00BD1AA9">
        <w:rPr>
          <w:rFonts w:ascii="Arial" w:eastAsia="Times New Roman" w:hAnsi="Arial" w:cs="Arial"/>
          <w:sz w:val="24"/>
          <w:szCs w:val="24"/>
          <w:lang w:val="en-GB" w:eastAsia="en-ZA"/>
        </w:rPr>
        <w:t>access</w:t>
      </w:r>
      <w:r w:rsidR="00BD1AA9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r w:rsidR="006B1F25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the </w:t>
      </w:r>
      <w:r w:rsidR="006B1F25" w:rsidRPr="002B7D0C">
        <w:rPr>
          <w:rFonts w:ascii="Arial" w:eastAsia="Times New Roman" w:hAnsi="Arial" w:cs="Arial"/>
          <w:sz w:val="24"/>
          <w:szCs w:val="24"/>
          <w:lang w:val="en-GB" w:eastAsia="en-ZA"/>
        </w:rPr>
        <w:t>Tax Statistics</w:t>
      </w:r>
      <w:r w:rsidR="006B1F25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publications, visit </w:t>
      </w:r>
      <w:r w:rsidR="002B7D0C" w:rsidRPr="001F32E9">
        <w:rPr>
          <w:rFonts w:ascii="Arial" w:eastAsia="Times New Roman" w:hAnsi="Arial" w:cs="Arial"/>
          <w:sz w:val="24"/>
          <w:szCs w:val="24"/>
          <w:lang w:val="en-GB" w:eastAsia="en-ZA"/>
        </w:rPr>
        <w:t>the</w:t>
      </w:r>
      <w:r w:rsidR="002B7D0C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hyperlink r:id="rId16" w:history="1">
        <w:r w:rsidR="006B1F25" w:rsidRPr="002B7D0C">
          <w:rPr>
            <w:rFonts w:ascii="Arial" w:eastAsia="Times New Roman" w:hAnsi="Arial" w:cs="Arial"/>
            <w:sz w:val="24"/>
            <w:szCs w:val="24"/>
            <w:lang w:val="en-GB" w:eastAsia="en-ZA"/>
          </w:rPr>
          <w:t>Tax Statistics</w:t>
        </w:r>
        <w:r w:rsidR="006B1F25" w:rsidRPr="00A908E2">
          <w:rPr>
            <w:rFonts w:ascii="Arial" w:eastAsia="Times New Roman" w:hAnsi="Arial" w:cs="Arial"/>
            <w:i/>
            <w:iCs/>
            <w:sz w:val="24"/>
            <w:szCs w:val="24"/>
            <w:lang w:val="en-GB" w:eastAsia="en-ZA"/>
          </w:rPr>
          <w:t xml:space="preserve"> </w:t>
        </w:r>
        <w:r w:rsidR="006B1F25" w:rsidRPr="001F32E9">
          <w:rPr>
            <w:rFonts w:ascii="Arial" w:eastAsia="Times New Roman" w:hAnsi="Arial" w:cs="Arial"/>
            <w:sz w:val="24"/>
            <w:szCs w:val="24"/>
            <w:lang w:val="en-GB" w:eastAsia="en-ZA"/>
          </w:rPr>
          <w:t>webpage.</w:t>
        </w:r>
      </w:hyperlink>
    </w:p>
    <w:p w14:paraId="17C8347F" w14:textId="77777777" w:rsidR="00762FFE" w:rsidRPr="001F32E9" w:rsidRDefault="00762FFE" w:rsidP="00BB1E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n-GB"/>
        </w:rPr>
      </w:pPr>
    </w:p>
    <w:p w14:paraId="7692A647" w14:textId="04B58D35" w:rsidR="00270BE1" w:rsidRPr="001F32E9" w:rsidRDefault="00270BE1" w:rsidP="00BB1E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en-ZA"/>
        </w:rPr>
      </w:pP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SARS and National Treasury</w:t>
      </w:r>
      <w:r w:rsidR="003C05C9"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</w:t>
      </w: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>welcome comments and suggestions</w:t>
      </w:r>
      <w:r w:rsidR="00820605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from the public. </w:t>
      </w:r>
      <w:r w:rsidR="00820605">
        <w:rPr>
          <w:rFonts w:ascii="Arial" w:eastAsia="Times New Roman" w:hAnsi="Arial" w:cs="Arial"/>
          <w:iCs/>
          <w:sz w:val="24"/>
          <w:szCs w:val="24"/>
          <w:lang w:val="en-GB" w:eastAsia="en-ZA"/>
        </w:rPr>
        <w:t>Please send them by</w:t>
      </w:r>
      <w:r w:rsidRPr="001F32E9">
        <w:rPr>
          <w:rFonts w:ascii="Arial" w:eastAsia="Times New Roman" w:hAnsi="Arial" w:cs="Arial"/>
          <w:sz w:val="24"/>
          <w:szCs w:val="24"/>
          <w:lang w:val="en-GB" w:eastAsia="en-ZA"/>
        </w:rPr>
        <w:t xml:space="preserve"> e-mail to </w:t>
      </w:r>
      <w:hyperlink r:id="rId17" w:history="1">
        <w:r w:rsidRPr="001F32E9">
          <w:rPr>
            <w:rFonts w:ascii="Arial" w:eastAsia="Times New Roman" w:hAnsi="Arial" w:cs="Arial"/>
            <w:sz w:val="24"/>
            <w:szCs w:val="24"/>
            <w:lang w:val="en-GB" w:eastAsia="en-ZA"/>
          </w:rPr>
          <w:t>taxstatistics@sars.gov.za</w:t>
        </w:r>
      </w:hyperlink>
      <w:r w:rsidR="00E62F1A" w:rsidRPr="001F32E9">
        <w:rPr>
          <w:rFonts w:ascii="Arial" w:eastAsia="Times New Roman" w:hAnsi="Arial" w:cs="Arial"/>
          <w:sz w:val="24"/>
          <w:szCs w:val="24"/>
          <w:lang w:val="en-GB" w:eastAsia="en-ZA"/>
        </w:rPr>
        <w:t>.</w:t>
      </w:r>
    </w:p>
    <w:p w14:paraId="7301F032" w14:textId="77777777" w:rsidR="00A9673A" w:rsidRPr="001F32E9" w:rsidRDefault="00A9673A" w:rsidP="00BB1E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  <w:lang w:val="en-GB"/>
        </w:rPr>
      </w:pPr>
    </w:p>
    <w:p w14:paraId="2C68987D" w14:textId="5BF7971D" w:rsidR="002365A8" w:rsidRPr="001F32E9" w:rsidRDefault="002365A8" w:rsidP="00BB1E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To access this page in different languages</w:t>
      </w:r>
      <w:r w:rsidR="006B1F25" w:rsidRPr="001F32E9">
        <w:rPr>
          <w:rFonts w:ascii="Arial" w:hAnsi="Arial" w:cs="Arial"/>
          <w:sz w:val="24"/>
          <w:szCs w:val="24"/>
          <w:lang w:val="en-GB"/>
        </w:rPr>
        <w:t>,</w:t>
      </w:r>
      <w:r w:rsidRPr="001F32E9">
        <w:rPr>
          <w:rFonts w:ascii="Arial" w:hAnsi="Arial" w:cs="Arial"/>
          <w:sz w:val="24"/>
          <w:szCs w:val="24"/>
          <w:lang w:val="en-GB"/>
        </w:rPr>
        <w:t xml:space="preserve"> click on the links below: </w:t>
      </w:r>
    </w:p>
    <w:p w14:paraId="43AEC3A9" w14:textId="77777777" w:rsidR="00D36126" w:rsidRPr="001F32E9" w:rsidRDefault="00D36126" w:rsidP="00D361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IsiZulu</w:t>
      </w:r>
    </w:p>
    <w:p w14:paraId="2294F27A" w14:textId="77777777" w:rsidR="00D36126" w:rsidRPr="001F32E9" w:rsidRDefault="00D36126" w:rsidP="00D36126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Sesotho</w:t>
      </w:r>
    </w:p>
    <w:p w14:paraId="4727021E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Afrikaans</w:t>
      </w:r>
    </w:p>
    <w:p w14:paraId="3E8923E5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Sepedi</w:t>
      </w:r>
    </w:p>
    <w:p w14:paraId="2E32F0B8" w14:textId="77777777" w:rsidR="002365A8" w:rsidRPr="001F32E9" w:rsidRDefault="002365A8" w:rsidP="002365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Xitsonga</w:t>
      </w:r>
    </w:p>
    <w:p w14:paraId="7349853A" w14:textId="77777777" w:rsidR="002365A8" w:rsidRPr="001F32E9" w:rsidRDefault="002365A8" w:rsidP="007D3C2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GB"/>
        </w:rPr>
      </w:pPr>
    </w:p>
    <w:p w14:paraId="6688FFB9" w14:textId="77777777" w:rsidR="00A57D2A" w:rsidRPr="001F32E9" w:rsidRDefault="003C05C9" w:rsidP="00315075">
      <w:pPr>
        <w:tabs>
          <w:tab w:val="center" w:pos="4513"/>
        </w:tabs>
        <w:jc w:val="center"/>
        <w:rPr>
          <w:rFonts w:ascii="Arial" w:hAnsi="Arial" w:cs="Arial"/>
          <w:sz w:val="24"/>
          <w:szCs w:val="24"/>
          <w:lang w:val="en-GB"/>
        </w:rPr>
      </w:pPr>
      <w:r w:rsidRPr="001F32E9">
        <w:rPr>
          <w:rFonts w:ascii="Arial" w:hAnsi="Arial" w:cs="Arial"/>
          <w:sz w:val="24"/>
          <w:szCs w:val="24"/>
          <w:lang w:val="en-GB"/>
        </w:rPr>
        <w:t>END</w:t>
      </w:r>
    </w:p>
    <w:sectPr w:rsidR="00A57D2A" w:rsidRPr="001F32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C407" w14:textId="77777777" w:rsidR="006A109B" w:rsidRDefault="006A109B" w:rsidP="00A9673A">
      <w:pPr>
        <w:spacing w:after="0" w:line="240" w:lineRule="auto"/>
      </w:pPr>
      <w:r>
        <w:separator/>
      </w:r>
    </w:p>
  </w:endnote>
  <w:endnote w:type="continuationSeparator" w:id="0">
    <w:p w14:paraId="27D7647B" w14:textId="77777777" w:rsidR="006A109B" w:rsidRDefault="006A109B" w:rsidP="00A9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FA4" w14:textId="77777777" w:rsidR="00AA07BE" w:rsidRDefault="00AA0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643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57072" w14:textId="77777777" w:rsidR="0056643C" w:rsidRDefault="0056643C" w:rsidP="00BB1E0B">
            <w:pPr>
              <w:spacing w:after="0" w:line="240" w:lineRule="auto"/>
              <w:ind w:left="-426"/>
              <w:jc w:val="both"/>
            </w:pPr>
          </w:p>
          <w:p w14:paraId="34276CFA" w14:textId="16CD423C" w:rsidR="00BB1E0B" w:rsidRPr="008A408F" w:rsidRDefault="00BB1E0B" w:rsidP="00BB1E0B">
            <w:pPr>
              <w:spacing w:after="0" w:line="240" w:lineRule="auto"/>
              <w:ind w:left="-426"/>
              <w:jc w:val="both"/>
              <w:rPr>
                <w:rFonts w:ascii="Arial" w:eastAsia="Times New Roman" w:hAnsi="Arial" w:cs="Arial"/>
                <w:szCs w:val="35"/>
                <w:lang w:val="fr-FR" w:eastAsia="en-ZA"/>
              </w:rPr>
            </w:pPr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 xml:space="preserve">Enquiries: </w:t>
            </w:r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ab/>
              <w:t>SARS Media</w:t>
            </w:r>
            <w:r w:rsidR="00AA07BE"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>:</w:t>
            </w:r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 xml:space="preserve"> </w:t>
            </w:r>
            <w:hyperlink r:id="rId1" w:history="1">
              <w:r w:rsidRPr="008A408F">
                <w:rPr>
                  <w:rStyle w:val="Hyperlink"/>
                  <w:rFonts w:ascii="Arial" w:eastAsia="Times New Roman" w:hAnsi="Arial" w:cs="Arial"/>
                  <w:szCs w:val="35"/>
                  <w:lang w:val="fr-FR" w:eastAsia="en-ZA"/>
                </w:rPr>
                <w:t>sarsmedia@sars.gov.za</w:t>
              </w:r>
            </w:hyperlink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 xml:space="preserve"> </w:t>
            </w:r>
          </w:p>
          <w:p w14:paraId="678C8910" w14:textId="482E9DCF" w:rsidR="00BB1E0B" w:rsidRPr="00A9673A" w:rsidRDefault="00BB1E0B" w:rsidP="00BB1E0B">
            <w:pPr>
              <w:spacing w:after="0" w:line="240" w:lineRule="auto"/>
              <w:ind w:left="-426"/>
              <w:jc w:val="both"/>
              <w:rPr>
                <w:rFonts w:ascii="Arial" w:eastAsia="Calibri" w:hAnsi="Arial" w:cs="Arial"/>
              </w:rPr>
            </w:pPr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ab/>
            </w:r>
            <w:r w:rsidRPr="008A408F">
              <w:rPr>
                <w:rFonts w:ascii="Arial" w:eastAsia="Times New Roman" w:hAnsi="Arial" w:cs="Arial"/>
                <w:szCs w:val="35"/>
                <w:lang w:val="fr-FR" w:eastAsia="en-ZA"/>
              </w:rPr>
              <w:tab/>
            </w:r>
            <w:r w:rsidRPr="00D441AA">
              <w:rPr>
                <w:rFonts w:ascii="Arial" w:eastAsia="Times New Roman" w:hAnsi="Arial" w:cs="Arial"/>
                <w:szCs w:val="35"/>
                <w:lang w:eastAsia="en-ZA"/>
              </w:rPr>
              <w:t xml:space="preserve">National </w:t>
            </w:r>
            <w:r w:rsidRPr="00A923E3">
              <w:rPr>
                <w:rFonts w:ascii="Arial" w:eastAsia="Times New Roman" w:hAnsi="Arial" w:cs="Arial"/>
                <w:szCs w:val="35"/>
                <w:lang w:eastAsia="en-ZA"/>
              </w:rPr>
              <w:t>Treasury Communications Unit</w:t>
            </w:r>
            <w:r w:rsidR="00AA07BE">
              <w:rPr>
                <w:rFonts w:ascii="Arial" w:eastAsia="Times New Roman" w:hAnsi="Arial" w:cs="Arial"/>
                <w:szCs w:val="35"/>
                <w:lang w:eastAsia="en-ZA"/>
              </w:rPr>
              <w:t>:</w:t>
            </w:r>
            <w:r w:rsidRPr="00A923E3"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  <w:hyperlink r:id="rId2" w:history="1">
              <w:r w:rsidRPr="00433173">
                <w:rPr>
                  <w:rStyle w:val="Hyperlink"/>
                  <w:rFonts w:ascii="Arial" w:eastAsia="Times New Roman" w:hAnsi="Arial" w:cs="Arial"/>
                  <w:szCs w:val="35"/>
                  <w:lang w:eastAsia="en-ZA"/>
                </w:rPr>
                <w:t>media@treasury.gov.za</w:t>
              </w:r>
            </w:hyperlink>
            <w:r>
              <w:rPr>
                <w:rFonts w:ascii="Arial" w:eastAsia="Times New Roman" w:hAnsi="Arial" w:cs="Arial"/>
                <w:szCs w:val="35"/>
                <w:lang w:eastAsia="en-ZA"/>
              </w:rPr>
              <w:t xml:space="preserve"> or call</w:t>
            </w:r>
            <w:r w:rsidRPr="00A9673A">
              <w:rPr>
                <w:rFonts w:ascii="Arial" w:eastAsia="Times New Roman" w:hAnsi="Arial" w:cs="Arial"/>
                <w:szCs w:val="35"/>
                <w:lang w:eastAsia="en-ZA"/>
              </w:rPr>
              <w:t xml:space="preserve"> </w:t>
            </w:r>
            <w:r w:rsidRPr="00A923E3">
              <w:rPr>
                <w:rFonts w:ascii="Arial" w:eastAsia="Times New Roman" w:hAnsi="Arial" w:cs="Arial"/>
                <w:szCs w:val="35"/>
                <w:lang w:eastAsia="en-ZA"/>
              </w:rPr>
              <w:t>012 315 5000</w:t>
            </w:r>
          </w:p>
          <w:p w14:paraId="15731E48" w14:textId="77777777" w:rsidR="00BB1E0B" w:rsidRDefault="00BB1E0B">
            <w:pPr>
              <w:pStyle w:val="Footer"/>
              <w:jc w:val="center"/>
            </w:pPr>
          </w:p>
          <w:p w14:paraId="7C5D601B" w14:textId="60FEC1C3" w:rsidR="00A9673A" w:rsidRDefault="00BB1E0B" w:rsidP="00BB1E0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4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4C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BF46" w14:textId="77777777" w:rsidR="00AA07BE" w:rsidRDefault="00AA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95FA" w14:textId="77777777" w:rsidR="006A109B" w:rsidRDefault="006A109B" w:rsidP="00A9673A">
      <w:pPr>
        <w:spacing w:after="0" w:line="240" w:lineRule="auto"/>
      </w:pPr>
      <w:r>
        <w:separator/>
      </w:r>
    </w:p>
  </w:footnote>
  <w:footnote w:type="continuationSeparator" w:id="0">
    <w:p w14:paraId="6F2E42AD" w14:textId="77777777" w:rsidR="006A109B" w:rsidRDefault="006A109B" w:rsidP="00A9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BB8B" w14:textId="77777777" w:rsidR="00AA07BE" w:rsidRDefault="00AA0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466" w14:textId="77777777" w:rsidR="00AA07BE" w:rsidRDefault="00AA0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A5D1" w14:textId="77777777" w:rsidR="00AA07BE" w:rsidRDefault="00AA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25D"/>
    <w:multiLevelType w:val="multilevel"/>
    <w:tmpl w:val="D63A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E118C"/>
    <w:multiLevelType w:val="hybridMultilevel"/>
    <w:tmpl w:val="CBBED9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B7057"/>
    <w:multiLevelType w:val="hybridMultilevel"/>
    <w:tmpl w:val="1D129AC8"/>
    <w:lvl w:ilvl="0" w:tplc="1C09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" w15:restartNumberingAfterBreak="0">
    <w:nsid w:val="07B846FE"/>
    <w:multiLevelType w:val="hybridMultilevel"/>
    <w:tmpl w:val="86A63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A659C"/>
    <w:multiLevelType w:val="hybridMultilevel"/>
    <w:tmpl w:val="D9008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9A8"/>
    <w:multiLevelType w:val="hybridMultilevel"/>
    <w:tmpl w:val="51BC29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62F4"/>
    <w:multiLevelType w:val="hybridMultilevel"/>
    <w:tmpl w:val="0FD81F1E"/>
    <w:lvl w:ilvl="0" w:tplc="F2A65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062D0F"/>
    <w:multiLevelType w:val="hybridMultilevel"/>
    <w:tmpl w:val="99DAE4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327"/>
    <w:multiLevelType w:val="hybridMultilevel"/>
    <w:tmpl w:val="1622654A"/>
    <w:lvl w:ilvl="0" w:tplc="85A4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5E5"/>
    <w:multiLevelType w:val="multilevel"/>
    <w:tmpl w:val="89A6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F795D"/>
    <w:multiLevelType w:val="hybridMultilevel"/>
    <w:tmpl w:val="AC328E7A"/>
    <w:lvl w:ilvl="0" w:tplc="8D9E5C0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63C1"/>
    <w:multiLevelType w:val="multilevel"/>
    <w:tmpl w:val="3D6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A533E"/>
    <w:multiLevelType w:val="hybridMultilevel"/>
    <w:tmpl w:val="6CEC02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652C2"/>
    <w:multiLevelType w:val="hybridMultilevel"/>
    <w:tmpl w:val="11C882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2382">
    <w:abstractNumId w:val="0"/>
  </w:num>
  <w:num w:numId="2" w16cid:durableId="1772780517">
    <w:abstractNumId w:val="9"/>
  </w:num>
  <w:num w:numId="3" w16cid:durableId="583806049">
    <w:abstractNumId w:val="12"/>
  </w:num>
  <w:num w:numId="4" w16cid:durableId="755130298">
    <w:abstractNumId w:val="10"/>
  </w:num>
  <w:num w:numId="5" w16cid:durableId="845437306">
    <w:abstractNumId w:val="8"/>
  </w:num>
  <w:num w:numId="6" w16cid:durableId="1323311043">
    <w:abstractNumId w:val="1"/>
  </w:num>
  <w:num w:numId="7" w16cid:durableId="1062216079">
    <w:abstractNumId w:val="13"/>
  </w:num>
  <w:num w:numId="8" w16cid:durableId="1085609531">
    <w:abstractNumId w:val="3"/>
  </w:num>
  <w:num w:numId="9" w16cid:durableId="1512648762">
    <w:abstractNumId w:val="5"/>
  </w:num>
  <w:num w:numId="10" w16cid:durableId="2009476905">
    <w:abstractNumId w:val="2"/>
  </w:num>
  <w:num w:numId="11" w16cid:durableId="1776053724">
    <w:abstractNumId w:val="7"/>
  </w:num>
  <w:num w:numId="12" w16cid:durableId="893659925">
    <w:abstractNumId w:val="11"/>
  </w:num>
  <w:num w:numId="13" w16cid:durableId="297418246">
    <w:abstractNumId w:val="6"/>
  </w:num>
  <w:num w:numId="14" w16cid:durableId="29913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E1"/>
    <w:rsid w:val="00004A45"/>
    <w:rsid w:val="00017397"/>
    <w:rsid w:val="000256CA"/>
    <w:rsid w:val="0003182E"/>
    <w:rsid w:val="000325B0"/>
    <w:rsid w:val="00044291"/>
    <w:rsid w:val="000445B7"/>
    <w:rsid w:val="00045C0D"/>
    <w:rsid w:val="00067289"/>
    <w:rsid w:val="00082FF0"/>
    <w:rsid w:val="00097670"/>
    <w:rsid w:val="000A087A"/>
    <w:rsid w:val="000A35DE"/>
    <w:rsid w:val="000A4719"/>
    <w:rsid w:val="000A5495"/>
    <w:rsid w:val="000A6139"/>
    <w:rsid w:val="000B7D43"/>
    <w:rsid w:val="000C7156"/>
    <w:rsid w:val="000D1B6E"/>
    <w:rsid w:val="000E343D"/>
    <w:rsid w:val="000E3BD1"/>
    <w:rsid w:val="000E43AC"/>
    <w:rsid w:val="000E6BFB"/>
    <w:rsid w:val="000F5DB6"/>
    <w:rsid w:val="00113AEE"/>
    <w:rsid w:val="0011484C"/>
    <w:rsid w:val="001307C4"/>
    <w:rsid w:val="0013354A"/>
    <w:rsid w:val="00133CB5"/>
    <w:rsid w:val="00141BBA"/>
    <w:rsid w:val="00164171"/>
    <w:rsid w:val="00175B27"/>
    <w:rsid w:val="001816E8"/>
    <w:rsid w:val="001843A6"/>
    <w:rsid w:val="0018534F"/>
    <w:rsid w:val="00185D13"/>
    <w:rsid w:val="00187E4B"/>
    <w:rsid w:val="001A08E9"/>
    <w:rsid w:val="001A2443"/>
    <w:rsid w:val="001B19C9"/>
    <w:rsid w:val="001B67A0"/>
    <w:rsid w:val="001C4F7B"/>
    <w:rsid w:val="001D2FD2"/>
    <w:rsid w:val="001F0BCD"/>
    <w:rsid w:val="001F32E9"/>
    <w:rsid w:val="001F6F20"/>
    <w:rsid w:val="001F7D64"/>
    <w:rsid w:val="002166BE"/>
    <w:rsid w:val="002228DB"/>
    <w:rsid w:val="0022620C"/>
    <w:rsid w:val="002365A8"/>
    <w:rsid w:val="00240111"/>
    <w:rsid w:val="002409C0"/>
    <w:rsid w:val="00246150"/>
    <w:rsid w:val="0025113E"/>
    <w:rsid w:val="00257B10"/>
    <w:rsid w:val="00270BE1"/>
    <w:rsid w:val="00275105"/>
    <w:rsid w:val="00275F8B"/>
    <w:rsid w:val="002822A4"/>
    <w:rsid w:val="00284D61"/>
    <w:rsid w:val="002925C3"/>
    <w:rsid w:val="002943CF"/>
    <w:rsid w:val="00296BEC"/>
    <w:rsid w:val="002B3E0B"/>
    <w:rsid w:val="002B65FB"/>
    <w:rsid w:val="002B7D0C"/>
    <w:rsid w:val="002B7EE4"/>
    <w:rsid w:val="002C01B3"/>
    <w:rsid w:val="002C3E99"/>
    <w:rsid w:val="002C48F9"/>
    <w:rsid w:val="002D7DF0"/>
    <w:rsid w:val="002E5AC5"/>
    <w:rsid w:val="002F3A62"/>
    <w:rsid w:val="003006CF"/>
    <w:rsid w:val="00306834"/>
    <w:rsid w:val="003076BA"/>
    <w:rsid w:val="003148E4"/>
    <w:rsid w:val="00315075"/>
    <w:rsid w:val="003171F7"/>
    <w:rsid w:val="00322AA1"/>
    <w:rsid w:val="00325980"/>
    <w:rsid w:val="003328CE"/>
    <w:rsid w:val="00334DA3"/>
    <w:rsid w:val="00335AFB"/>
    <w:rsid w:val="00337636"/>
    <w:rsid w:val="0034053A"/>
    <w:rsid w:val="00351A95"/>
    <w:rsid w:val="00353CD4"/>
    <w:rsid w:val="0035496F"/>
    <w:rsid w:val="00356F5F"/>
    <w:rsid w:val="00376580"/>
    <w:rsid w:val="003816E2"/>
    <w:rsid w:val="00381807"/>
    <w:rsid w:val="00383A6A"/>
    <w:rsid w:val="00383BA4"/>
    <w:rsid w:val="00387091"/>
    <w:rsid w:val="003910E8"/>
    <w:rsid w:val="0039412F"/>
    <w:rsid w:val="003A5172"/>
    <w:rsid w:val="003B0104"/>
    <w:rsid w:val="003B32C9"/>
    <w:rsid w:val="003B4CED"/>
    <w:rsid w:val="003C0334"/>
    <w:rsid w:val="003C05C9"/>
    <w:rsid w:val="003C5C24"/>
    <w:rsid w:val="003C6F06"/>
    <w:rsid w:val="003E0F8F"/>
    <w:rsid w:val="003E5B87"/>
    <w:rsid w:val="003F2FE8"/>
    <w:rsid w:val="003F6180"/>
    <w:rsid w:val="004114FD"/>
    <w:rsid w:val="00412BEE"/>
    <w:rsid w:val="00435679"/>
    <w:rsid w:val="004368EB"/>
    <w:rsid w:val="00447419"/>
    <w:rsid w:val="00450754"/>
    <w:rsid w:val="00452083"/>
    <w:rsid w:val="004523A5"/>
    <w:rsid w:val="00457B0B"/>
    <w:rsid w:val="004632A2"/>
    <w:rsid w:val="00472031"/>
    <w:rsid w:val="00483005"/>
    <w:rsid w:val="004871EF"/>
    <w:rsid w:val="00490A82"/>
    <w:rsid w:val="004975AC"/>
    <w:rsid w:val="004B08FE"/>
    <w:rsid w:val="004B3A0F"/>
    <w:rsid w:val="004C4FFE"/>
    <w:rsid w:val="004D5385"/>
    <w:rsid w:val="004F2651"/>
    <w:rsid w:val="004F5813"/>
    <w:rsid w:val="005005DA"/>
    <w:rsid w:val="005210D7"/>
    <w:rsid w:val="0052468C"/>
    <w:rsid w:val="005425DC"/>
    <w:rsid w:val="005461B7"/>
    <w:rsid w:val="00550FFF"/>
    <w:rsid w:val="005647D1"/>
    <w:rsid w:val="0056643C"/>
    <w:rsid w:val="005725CF"/>
    <w:rsid w:val="005739E7"/>
    <w:rsid w:val="005751A4"/>
    <w:rsid w:val="005A682A"/>
    <w:rsid w:val="005B012B"/>
    <w:rsid w:val="005B3430"/>
    <w:rsid w:val="005C1381"/>
    <w:rsid w:val="005D1A97"/>
    <w:rsid w:val="005D1D6C"/>
    <w:rsid w:val="005D5C6C"/>
    <w:rsid w:val="005E2864"/>
    <w:rsid w:val="005E7337"/>
    <w:rsid w:val="005F3E03"/>
    <w:rsid w:val="005F615E"/>
    <w:rsid w:val="006020A3"/>
    <w:rsid w:val="00604AC3"/>
    <w:rsid w:val="00623E1B"/>
    <w:rsid w:val="006248A1"/>
    <w:rsid w:val="00626712"/>
    <w:rsid w:val="0063646D"/>
    <w:rsid w:val="00654BB8"/>
    <w:rsid w:val="00656A1D"/>
    <w:rsid w:val="00664B68"/>
    <w:rsid w:val="006701A2"/>
    <w:rsid w:val="0068281E"/>
    <w:rsid w:val="00694314"/>
    <w:rsid w:val="006A109B"/>
    <w:rsid w:val="006B1F25"/>
    <w:rsid w:val="006B55B3"/>
    <w:rsid w:val="006C27E6"/>
    <w:rsid w:val="006C4594"/>
    <w:rsid w:val="006C7F38"/>
    <w:rsid w:val="006F3BCD"/>
    <w:rsid w:val="006F6C5C"/>
    <w:rsid w:val="00701C80"/>
    <w:rsid w:val="007070D8"/>
    <w:rsid w:val="0071097B"/>
    <w:rsid w:val="00713609"/>
    <w:rsid w:val="00714187"/>
    <w:rsid w:val="007171BC"/>
    <w:rsid w:val="007464F7"/>
    <w:rsid w:val="00747DE5"/>
    <w:rsid w:val="007524D0"/>
    <w:rsid w:val="00753469"/>
    <w:rsid w:val="007579E0"/>
    <w:rsid w:val="007616DE"/>
    <w:rsid w:val="00762FFE"/>
    <w:rsid w:val="00771DEB"/>
    <w:rsid w:val="00784042"/>
    <w:rsid w:val="00790BAC"/>
    <w:rsid w:val="00793AB0"/>
    <w:rsid w:val="007B36A6"/>
    <w:rsid w:val="007D083B"/>
    <w:rsid w:val="007D3C23"/>
    <w:rsid w:val="007D4838"/>
    <w:rsid w:val="007E1A10"/>
    <w:rsid w:val="007E1B01"/>
    <w:rsid w:val="007E5E18"/>
    <w:rsid w:val="007E63E1"/>
    <w:rsid w:val="007E6EC0"/>
    <w:rsid w:val="007E77CF"/>
    <w:rsid w:val="007F2D5E"/>
    <w:rsid w:val="007F3A96"/>
    <w:rsid w:val="008117E4"/>
    <w:rsid w:val="008136FF"/>
    <w:rsid w:val="00815D97"/>
    <w:rsid w:val="00820605"/>
    <w:rsid w:val="00823601"/>
    <w:rsid w:val="00830ED7"/>
    <w:rsid w:val="008441B1"/>
    <w:rsid w:val="00854456"/>
    <w:rsid w:val="0085462C"/>
    <w:rsid w:val="00862F9A"/>
    <w:rsid w:val="008640CB"/>
    <w:rsid w:val="0086497F"/>
    <w:rsid w:val="008824FF"/>
    <w:rsid w:val="00896959"/>
    <w:rsid w:val="008A2140"/>
    <w:rsid w:val="008A408F"/>
    <w:rsid w:val="008A7200"/>
    <w:rsid w:val="008B088B"/>
    <w:rsid w:val="008D0A06"/>
    <w:rsid w:val="008D7A5D"/>
    <w:rsid w:val="008E36ED"/>
    <w:rsid w:val="008E41EA"/>
    <w:rsid w:val="00910257"/>
    <w:rsid w:val="00910734"/>
    <w:rsid w:val="00911DA7"/>
    <w:rsid w:val="0092616A"/>
    <w:rsid w:val="0093712F"/>
    <w:rsid w:val="00945546"/>
    <w:rsid w:val="00953945"/>
    <w:rsid w:val="0096072B"/>
    <w:rsid w:val="009641E0"/>
    <w:rsid w:val="00976F84"/>
    <w:rsid w:val="0099552D"/>
    <w:rsid w:val="009B1FB0"/>
    <w:rsid w:val="009B5B19"/>
    <w:rsid w:val="009C291D"/>
    <w:rsid w:val="009C6650"/>
    <w:rsid w:val="009D32A0"/>
    <w:rsid w:val="009D65EE"/>
    <w:rsid w:val="009E4A0B"/>
    <w:rsid w:val="009F6798"/>
    <w:rsid w:val="00A110AE"/>
    <w:rsid w:val="00A11178"/>
    <w:rsid w:val="00A37710"/>
    <w:rsid w:val="00A44501"/>
    <w:rsid w:val="00A547FC"/>
    <w:rsid w:val="00A57D2A"/>
    <w:rsid w:val="00A66979"/>
    <w:rsid w:val="00A748AB"/>
    <w:rsid w:val="00A77CA0"/>
    <w:rsid w:val="00A77DCD"/>
    <w:rsid w:val="00A908E2"/>
    <w:rsid w:val="00A91B73"/>
    <w:rsid w:val="00A91D1E"/>
    <w:rsid w:val="00A923E3"/>
    <w:rsid w:val="00A9673A"/>
    <w:rsid w:val="00A975FE"/>
    <w:rsid w:val="00AA07BE"/>
    <w:rsid w:val="00AA13F6"/>
    <w:rsid w:val="00AA4CE2"/>
    <w:rsid w:val="00AA563D"/>
    <w:rsid w:val="00AB2FB0"/>
    <w:rsid w:val="00AB326A"/>
    <w:rsid w:val="00AB6F5D"/>
    <w:rsid w:val="00AC3807"/>
    <w:rsid w:val="00AC51C0"/>
    <w:rsid w:val="00AC7FA8"/>
    <w:rsid w:val="00AD5706"/>
    <w:rsid w:val="00AF5125"/>
    <w:rsid w:val="00AF6F0F"/>
    <w:rsid w:val="00B045A7"/>
    <w:rsid w:val="00B10686"/>
    <w:rsid w:val="00B10959"/>
    <w:rsid w:val="00B34BD3"/>
    <w:rsid w:val="00B36DE6"/>
    <w:rsid w:val="00B729A3"/>
    <w:rsid w:val="00B749F8"/>
    <w:rsid w:val="00B75CCE"/>
    <w:rsid w:val="00B76307"/>
    <w:rsid w:val="00B769B5"/>
    <w:rsid w:val="00B8349A"/>
    <w:rsid w:val="00B83BF1"/>
    <w:rsid w:val="00B943EA"/>
    <w:rsid w:val="00BA2132"/>
    <w:rsid w:val="00BA54F4"/>
    <w:rsid w:val="00BA7AF2"/>
    <w:rsid w:val="00BB0A87"/>
    <w:rsid w:val="00BB1E0B"/>
    <w:rsid w:val="00BC37F1"/>
    <w:rsid w:val="00BC3AA7"/>
    <w:rsid w:val="00BC42EB"/>
    <w:rsid w:val="00BC5B4E"/>
    <w:rsid w:val="00BC6794"/>
    <w:rsid w:val="00BD04C0"/>
    <w:rsid w:val="00BD11AC"/>
    <w:rsid w:val="00BD1AA9"/>
    <w:rsid w:val="00BD7573"/>
    <w:rsid w:val="00BE0542"/>
    <w:rsid w:val="00BE06B5"/>
    <w:rsid w:val="00BE2701"/>
    <w:rsid w:val="00BE4FAD"/>
    <w:rsid w:val="00BE7B83"/>
    <w:rsid w:val="00C028F0"/>
    <w:rsid w:val="00C03DE5"/>
    <w:rsid w:val="00C0591C"/>
    <w:rsid w:val="00C12E60"/>
    <w:rsid w:val="00C17947"/>
    <w:rsid w:val="00C27ED3"/>
    <w:rsid w:val="00C50AFE"/>
    <w:rsid w:val="00C51837"/>
    <w:rsid w:val="00C51BFC"/>
    <w:rsid w:val="00C5415C"/>
    <w:rsid w:val="00C54F47"/>
    <w:rsid w:val="00C555E8"/>
    <w:rsid w:val="00C632D8"/>
    <w:rsid w:val="00C66E12"/>
    <w:rsid w:val="00C709B5"/>
    <w:rsid w:val="00C72A82"/>
    <w:rsid w:val="00C80868"/>
    <w:rsid w:val="00C8292F"/>
    <w:rsid w:val="00C861EF"/>
    <w:rsid w:val="00CB1841"/>
    <w:rsid w:val="00CB269A"/>
    <w:rsid w:val="00CB2ABD"/>
    <w:rsid w:val="00CB5D9B"/>
    <w:rsid w:val="00CC123B"/>
    <w:rsid w:val="00CC3D71"/>
    <w:rsid w:val="00CC5589"/>
    <w:rsid w:val="00CC6A8C"/>
    <w:rsid w:val="00CD3B3E"/>
    <w:rsid w:val="00D00FB4"/>
    <w:rsid w:val="00D0241E"/>
    <w:rsid w:val="00D10D6C"/>
    <w:rsid w:val="00D11FE2"/>
    <w:rsid w:val="00D20E39"/>
    <w:rsid w:val="00D21AD4"/>
    <w:rsid w:val="00D31AC4"/>
    <w:rsid w:val="00D33DB2"/>
    <w:rsid w:val="00D34EA4"/>
    <w:rsid w:val="00D35776"/>
    <w:rsid w:val="00D36126"/>
    <w:rsid w:val="00D36999"/>
    <w:rsid w:val="00D441AA"/>
    <w:rsid w:val="00D552AD"/>
    <w:rsid w:val="00D5625F"/>
    <w:rsid w:val="00D577CB"/>
    <w:rsid w:val="00D663D1"/>
    <w:rsid w:val="00D66D6B"/>
    <w:rsid w:val="00D7005B"/>
    <w:rsid w:val="00D7079F"/>
    <w:rsid w:val="00D722F7"/>
    <w:rsid w:val="00D8252D"/>
    <w:rsid w:val="00D82F4C"/>
    <w:rsid w:val="00D94654"/>
    <w:rsid w:val="00DA4746"/>
    <w:rsid w:val="00DA4C6E"/>
    <w:rsid w:val="00DD121E"/>
    <w:rsid w:val="00DD41E2"/>
    <w:rsid w:val="00DF0996"/>
    <w:rsid w:val="00DF4573"/>
    <w:rsid w:val="00DF670A"/>
    <w:rsid w:val="00DF7566"/>
    <w:rsid w:val="00DF7A8F"/>
    <w:rsid w:val="00E062C8"/>
    <w:rsid w:val="00E33941"/>
    <w:rsid w:val="00E4162F"/>
    <w:rsid w:val="00E42ABC"/>
    <w:rsid w:val="00E45F2F"/>
    <w:rsid w:val="00E541EB"/>
    <w:rsid w:val="00E572DE"/>
    <w:rsid w:val="00E62F1A"/>
    <w:rsid w:val="00E638FD"/>
    <w:rsid w:val="00E7102F"/>
    <w:rsid w:val="00E80593"/>
    <w:rsid w:val="00E8181B"/>
    <w:rsid w:val="00EA7AFF"/>
    <w:rsid w:val="00EA7E27"/>
    <w:rsid w:val="00EB6DE7"/>
    <w:rsid w:val="00EC2BEC"/>
    <w:rsid w:val="00EC41C4"/>
    <w:rsid w:val="00ED2452"/>
    <w:rsid w:val="00ED4A1D"/>
    <w:rsid w:val="00EE272B"/>
    <w:rsid w:val="00EE4D05"/>
    <w:rsid w:val="00EE5C0F"/>
    <w:rsid w:val="00EE79ED"/>
    <w:rsid w:val="00EF49F3"/>
    <w:rsid w:val="00EF6BD8"/>
    <w:rsid w:val="00F0223F"/>
    <w:rsid w:val="00F02EC5"/>
    <w:rsid w:val="00F071B9"/>
    <w:rsid w:val="00F074EB"/>
    <w:rsid w:val="00F11983"/>
    <w:rsid w:val="00F14BBE"/>
    <w:rsid w:val="00F2786A"/>
    <w:rsid w:val="00F32360"/>
    <w:rsid w:val="00F3550A"/>
    <w:rsid w:val="00F43F6B"/>
    <w:rsid w:val="00F522B1"/>
    <w:rsid w:val="00F538D5"/>
    <w:rsid w:val="00F542FD"/>
    <w:rsid w:val="00F5717A"/>
    <w:rsid w:val="00F673BB"/>
    <w:rsid w:val="00F732BA"/>
    <w:rsid w:val="00F74871"/>
    <w:rsid w:val="00F82C9D"/>
    <w:rsid w:val="00F92E18"/>
    <w:rsid w:val="00FA2231"/>
    <w:rsid w:val="00FA24A3"/>
    <w:rsid w:val="00FA35C9"/>
    <w:rsid w:val="00FC1A7E"/>
    <w:rsid w:val="00FD4BE9"/>
    <w:rsid w:val="00FF0EE5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7B380"/>
  <w15:docId w15:val="{3F6808D7-11AE-4BF6-80D8-F3FB8F9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BE1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70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25"/>
    <w:rPr>
      <w:rFonts w:ascii="Tahoma" w:hAnsi="Tahoma" w:cs="Tahoma"/>
      <w:sz w:val="16"/>
      <w:szCs w:val="16"/>
    </w:rPr>
  </w:style>
  <w:style w:type="paragraph" w:styleId="ListParagraph">
    <w:name w:val="List Paragraph"/>
    <w:aliases w:val="PL_Bullet Level 1,List Paragraph1"/>
    <w:basedOn w:val="Normal"/>
    <w:link w:val="ListParagraphChar"/>
    <w:uiPriority w:val="34"/>
    <w:qFormat/>
    <w:rsid w:val="003E5B8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PL_Bullet Level 1 Char,List Paragraph1 Char"/>
    <w:basedOn w:val="DefaultParagraphFont"/>
    <w:link w:val="ListParagraph"/>
    <w:uiPriority w:val="34"/>
    <w:rsid w:val="003E5B8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3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6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3A"/>
  </w:style>
  <w:style w:type="paragraph" w:styleId="Footer">
    <w:name w:val="footer"/>
    <w:basedOn w:val="Normal"/>
    <w:link w:val="FooterChar"/>
    <w:uiPriority w:val="99"/>
    <w:unhideWhenUsed/>
    <w:rsid w:val="00A96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3A"/>
  </w:style>
  <w:style w:type="paragraph" w:styleId="Revision">
    <w:name w:val="Revision"/>
    <w:hidden/>
    <w:uiPriority w:val="99"/>
    <w:semiHidden/>
    <w:rsid w:val="00EB6DE7"/>
    <w:pPr>
      <w:spacing w:after="0" w:line="240" w:lineRule="auto"/>
    </w:pPr>
  </w:style>
  <w:style w:type="paragraph" w:customStyle="1" w:styleId="Paragraph1">
    <w:name w:val="Paragraph1"/>
    <w:basedOn w:val="Normal"/>
    <w:link w:val="Paragraph1Char"/>
    <w:qFormat/>
    <w:rsid w:val="007171BC"/>
    <w:pPr>
      <w:spacing w:before="120" w:after="120"/>
      <w:jc w:val="both"/>
    </w:pPr>
    <w:rPr>
      <w:rFonts w:ascii="Calibri" w:eastAsiaTheme="minorEastAsia" w:hAnsi="Calibri" w:cs="Calibri"/>
      <w:lang w:val="en-GB"/>
    </w:rPr>
  </w:style>
  <w:style w:type="character" w:customStyle="1" w:styleId="Paragraph1Char">
    <w:name w:val="Paragraph1 Char"/>
    <w:basedOn w:val="DefaultParagraphFont"/>
    <w:link w:val="Paragraph1"/>
    <w:rsid w:val="007171BC"/>
    <w:rPr>
      <w:rFonts w:ascii="Calibri" w:eastAsiaTheme="minorEastAsia" w:hAnsi="Calibri" w:cs="Calibr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1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41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41AA"/>
    <w:rPr>
      <w:vertAlign w:val="superscript"/>
    </w:rPr>
  </w:style>
  <w:style w:type="paragraph" w:customStyle="1" w:styleId="STHead1">
    <w:name w:val="STHead1"/>
    <w:basedOn w:val="Heading1"/>
    <w:link w:val="STHead1Char"/>
    <w:qFormat/>
    <w:rsid w:val="00694314"/>
    <w:pPr>
      <w:spacing w:before="200" w:after="200"/>
      <w:ind w:left="360" w:hanging="360"/>
    </w:pPr>
    <w:rPr>
      <w:rFonts w:ascii="Cambria" w:hAnsi="Cambria"/>
      <w:bCs/>
      <w:caps/>
      <w:color w:val="1F497D" w:themeColor="text2"/>
      <w:sz w:val="30"/>
      <w:szCs w:val="30"/>
    </w:rPr>
  </w:style>
  <w:style w:type="character" w:customStyle="1" w:styleId="STHead1Char">
    <w:name w:val="STHead1 Char"/>
    <w:basedOn w:val="DefaultParagraphFont"/>
    <w:link w:val="STHead1"/>
    <w:rsid w:val="00694314"/>
    <w:rPr>
      <w:rFonts w:ascii="Cambria" w:eastAsiaTheme="majorEastAsia" w:hAnsi="Cambria" w:cstheme="majorBidi"/>
      <w:bCs/>
      <w:caps/>
      <w:color w:val="1F497D" w:themeColor="text2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694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58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57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92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1B4E3.94702B5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axstatistics@sars.gov.z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rs.gov.za/about/sas-tax-and-customs-system/tax-statistic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reasury.gov.za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rs.gov.z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treasury.gov.za" TargetMode="External"/><Relationship Id="rId1" Type="http://schemas.openxmlformats.org/officeDocument/2006/relationships/hyperlink" Target="mailto:sarsmedia@sar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BFB6584F6454C8DD4BEFD67A69576" ma:contentTypeVersion="14" ma:contentTypeDescription="Create a new document." ma:contentTypeScope="" ma:versionID="16cc964a0468e20f03729490465d1a60">
  <xsd:schema xmlns:xsd="http://www.w3.org/2001/XMLSchema" xmlns:xs="http://www.w3.org/2001/XMLSchema" xmlns:p="http://schemas.microsoft.com/office/2006/metadata/properties" xmlns:ns3="3161f459-90b9-4d93-a918-8d5bfd7fa743" xmlns:ns4="5b3d3aa7-eead-4d2f-ada8-264a19ef5b64" targetNamespace="http://schemas.microsoft.com/office/2006/metadata/properties" ma:root="true" ma:fieldsID="ad33d2cae01e3669b9489a5564a57104" ns3:_="" ns4:_="">
    <xsd:import namespace="3161f459-90b9-4d93-a918-8d5bfd7fa743"/>
    <xsd:import namespace="5b3d3aa7-eead-4d2f-ada8-264a19ef5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f459-90b9-4d93-a918-8d5bfd7fa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aa7-eead-4d2f-ada8-264a19ef5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61f459-90b9-4d93-a918-8d5bfd7fa74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26D5D-CAE2-49A7-A5A9-98AD98934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f459-90b9-4d93-a918-8d5bfd7fa743"/>
    <ds:schemaRef ds:uri="5b3d3aa7-eead-4d2f-ada8-264a19ef5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4AF6C-A508-49E4-92C0-01E8E58B1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2174B3-8A63-4073-A264-F8AD5849B23B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3161f459-90b9-4d93-a918-8d5bfd7fa743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b3d3aa7-eead-4d2f-ada8-264a19ef5b6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79B7EF-8751-412D-8B9F-8B524318D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7249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Mamiky Leolo</dc:creator>
  <cp:lastModifiedBy>Mamiky Leolo</cp:lastModifiedBy>
  <cp:revision>2</cp:revision>
  <cp:lastPrinted>2019-12-18T09:07:00Z</cp:lastPrinted>
  <dcterms:created xsi:type="dcterms:W3CDTF">2023-12-28T15:08:00Z</dcterms:created>
  <dcterms:modified xsi:type="dcterms:W3CDTF">2023-12-28T15:08:00Z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0x010100F4BBFB6584F6454C8DD4BEFD67A69576</vt:lpwstr>
  </property>
</Properties>
</file>