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FD" w:rsidRDefault="00D36843">
      <w:pPr>
        <w:rPr>
          <w:rFonts w:ascii="Arial" w:hAnsi="Arial" w:cs="Arial"/>
          <w:b/>
        </w:rPr>
      </w:pPr>
      <w:r w:rsidRPr="00D36843">
        <w:rPr>
          <w:rFonts w:ascii="Arial" w:hAnsi="Arial" w:cs="Arial"/>
          <w:b/>
        </w:rPr>
        <w:t>ANNEXURE A: DELIVERABLES</w:t>
      </w:r>
    </w:p>
    <w:tbl>
      <w:tblPr>
        <w:tblStyle w:val="TableGrid"/>
        <w:tblW w:w="0" w:type="auto"/>
        <w:tblLook w:val="04A0" w:firstRow="1" w:lastRow="0" w:firstColumn="1" w:lastColumn="0" w:noHBand="0" w:noVBand="1"/>
      </w:tblPr>
      <w:tblGrid>
        <w:gridCol w:w="2518"/>
        <w:gridCol w:w="1522"/>
        <w:gridCol w:w="1523"/>
        <w:gridCol w:w="1523"/>
        <w:gridCol w:w="4788"/>
        <w:gridCol w:w="2300"/>
      </w:tblGrid>
      <w:tr w:rsidR="00A11A18" w:rsidTr="00A11A18">
        <w:tc>
          <w:tcPr>
            <w:tcW w:w="2518" w:type="dxa"/>
          </w:tcPr>
          <w:p w:rsidR="00A11A18" w:rsidRDefault="00A11A18">
            <w:pPr>
              <w:rPr>
                <w:rFonts w:ascii="Arial" w:hAnsi="Arial" w:cs="Arial"/>
                <w:b/>
              </w:rPr>
            </w:pPr>
            <w:r>
              <w:rPr>
                <w:rFonts w:ascii="Arial" w:hAnsi="Arial" w:cs="Arial"/>
                <w:b/>
              </w:rPr>
              <w:t>ITEM</w:t>
            </w:r>
          </w:p>
        </w:tc>
        <w:tc>
          <w:tcPr>
            <w:tcW w:w="4568" w:type="dxa"/>
            <w:gridSpan w:val="3"/>
          </w:tcPr>
          <w:p w:rsidR="00A11A18" w:rsidRDefault="00A11A18">
            <w:pPr>
              <w:rPr>
                <w:rFonts w:ascii="Arial" w:hAnsi="Arial" w:cs="Arial"/>
                <w:b/>
              </w:rPr>
            </w:pPr>
          </w:p>
        </w:tc>
        <w:tc>
          <w:tcPr>
            <w:tcW w:w="4788" w:type="dxa"/>
          </w:tcPr>
          <w:p w:rsidR="00A11A18" w:rsidRDefault="00A11A18">
            <w:pPr>
              <w:rPr>
                <w:rFonts w:ascii="Arial" w:hAnsi="Arial" w:cs="Arial"/>
                <w:b/>
              </w:rPr>
            </w:pPr>
            <w:r>
              <w:rPr>
                <w:rFonts w:ascii="Arial" w:hAnsi="Arial" w:cs="Arial"/>
                <w:b/>
              </w:rPr>
              <w:t>DELIVERABLES</w:t>
            </w:r>
          </w:p>
        </w:tc>
        <w:tc>
          <w:tcPr>
            <w:tcW w:w="2300" w:type="dxa"/>
          </w:tcPr>
          <w:p w:rsidR="00A11A18" w:rsidRDefault="00A11A18">
            <w:pPr>
              <w:rPr>
                <w:rFonts w:ascii="Arial" w:hAnsi="Arial" w:cs="Arial"/>
                <w:b/>
              </w:rPr>
            </w:pPr>
            <w:r>
              <w:rPr>
                <w:rFonts w:ascii="Arial" w:hAnsi="Arial" w:cs="Arial"/>
                <w:b/>
              </w:rPr>
              <w:t>SERVICE CREDITS</w:t>
            </w:r>
          </w:p>
        </w:tc>
      </w:tr>
      <w:tr w:rsidR="00A11A18" w:rsidTr="00A11A18">
        <w:trPr>
          <w:trHeight w:val="370"/>
        </w:trPr>
        <w:tc>
          <w:tcPr>
            <w:tcW w:w="2518" w:type="dxa"/>
            <w:vMerge w:val="restart"/>
          </w:tcPr>
          <w:p w:rsidR="00A11A18" w:rsidRDefault="00A11A18">
            <w:pPr>
              <w:rPr>
                <w:rFonts w:ascii="Arial" w:hAnsi="Arial" w:cs="Arial"/>
                <w:b/>
              </w:rPr>
            </w:pPr>
            <w:r>
              <w:rPr>
                <w:rFonts w:ascii="Arial" w:hAnsi="Arial" w:cs="Arial"/>
                <w:b/>
              </w:rPr>
              <w:t>PLANNING PROCESS</w:t>
            </w: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p w:rsidR="00A11A18" w:rsidRDefault="00A11A18">
            <w:pPr>
              <w:rPr>
                <w:rFonts w:ascii="Arial" w:hAnsi="Arial" w:cs="Arial"/>
                <w:b/>
              </w:rPr>
            </w:pPr>
          </w:p>
        </w:tc>
        <w:tc>
          <w:tcPr>
            <w:tcW w:w="4568" w:type="dxa"/>
            <w:gridSpan w:val="3"/>
          </w:tcPr>
          <w:p w:rsidR="00A11A18" w:rsidRDefault="00A11A18" w:rsidP="00900FCB">
            <w:pPr>
              <w:jc w:val="center"/>
              <w:rPr>
                <w:rFonts w:ascii="Arial" w:hAnsi="Arial" w:cs="Arial"/>
                <w:b/>
              </w:rPr>
            </w:pPr>
            <w:r>
              <w:rPr>
                <w:rFonts w:ascii="Arial" w:hAnsi="Arial" w:cs="Arial"/>
                <w:b/>
              </w:rPr>
              <w:t>DURATION</w:t>
            </w:r>
          </w:p>
        </w:tc>
        <w:tc>
          <w:tcPr>
            <w:tcW w:w="4788" w:type="dxa"/>
            <w:vMerge w:val="restart"/>
          </w:tcPr>
          <w:p w:rsidR="00AD710A" w:rsidRPr="00AD710A" w:rsidRDefault="00AD710A" w:rsidP="00AD710A">
            <w:pPr>
              <w:pStyle w:val="ListParagraph"/>
              <w:widowControl w:val="0"/>
              <w:numPr>
                <w:ilvl w:val="0"/>
                <w:numId w:val="4"/>
              </w:numPr>
              <w:tabs>
                <w:tab w:val="left" w:pos="1560"/>
              </w:tabs>
              <w:ind w:left="285" w:hanging="283"/>
              <w:jc w:val="both"/>
              <w:rPr>
                <w:rFonts w:ascii="Arial" w:hAnsi="Arial" w:cs="Arial"/>
                <w:b/>
                <w:sz w:val="18"/>
                <w:szCs w:val="18"/>
              </w:rPr>
            </w:pPr>
            <w:r w:rsidRPr="00AD710A">
              <w:rPr>
                <w:rFonts w:ascii="Arial" w:hAnsi="Arial" w:cs="Arial"/>
                <w:sz w:val="18"/>
                <w:szCs w:val="18"/>
              </w:rPr>
              <w:t>Study available and relevant information to ensure that the planning process adequately covers the relevant content required to enable effective delivery of the project in line with stipulated objective of the 3 (three) days’ Leadership Engagement Sessions. These include but are not limited to:</w:t>
            </w:r>
          </w:p>
          <w:p w:rsidR="00AD710A" w:rsidRPr="00AD710A" w:rsidRDefault="00AD710A" w:rsidP="00AD710A">
            <w:pPr>
              <w:widowControl w:val="0"/>
              <w:numPr>
                <w:ilvl w:val="0"/>
                <w:numId w:val="2"/>
              </w:numPr>
              <w:tabs>
                <w:tab w:val="left" w:pos="851"/>
              </w:tabs>
              <w:ind w:left="852" w:hanging="567"/>
              <w:jc w:val="both"/>
              <w:rPr>
                <w:rFonts w:ascii="Arial" w:hAnsi="Arial" w:cs="Arial"/>
                <w:sz w:val="18"/>
                <w:szCs w:val="18"/>
              </w:rPr>
            </w:pPr>
            <w:r w:rsidRPr="00AD710A">
              <w:rPr>
                <w:rFonts w:ascii="Arial" w:hAnsi="Arial" w:cs="Arial"/>
                <w:sz w:val="18"/>
                <w:szCs w:val="18"/>
              </w:rPr>
              <w:t>Outcomes from the 2016 EXCO leadership alignment process;</w:t>
            </w:r>
          </w:p>
          <w:p w:rsidR="00AD710A" w:rsidRPr="00AD710A" w:rsidRDefault="00AD710A" w:rsidP="00AD710A">
            <w:pPr>
              <w:widowControl w:val="0"/>
              <w:numPr>
                <w:ilvl w:val="0"/>
                <w:numId w:val="2"/>
              </w:numPr>
              <w:tabs>
                <w:tab w:val="left" w:pos="851"/>
              </w:tabs>
              <w:ind w:left="852" w:hanging="567"/>
              <w:jc w:val="both"/>
              <w:rPr>
                <w:rFonts w:ascii="Arial" w:hAnsi="Arial" w:cs="Arial"/>
                <w:sz w:val="18"/>
                <w:szCs w:val="18"/>
              </w:rPr>
            </w:pPr>
            <w:r w:rsidRPr="00AD710A">
              <w:rPr>
                <w:rFonts w:ascii="Arial" w:hAnsi="Arial" w:cs="Arial"/>
                <w:sz w:val="18"/>
                <w:szCs w:val="18"/>
              </w:rPr>
              <w:t>Understanding of SARS’ current landscape, culture and climate;</w:t>
            </w:r>
          </w:p>
          <w:p w:rsidR="00AD710A" w:rsidRPr="00AD710A" w:rsidRDefault="00AD710A" w:rsidP="00AD710A">
            <w:pPr>
              <w:widowControl w:val="0"/>
              <w:numPr>
                <w:ilvl w:val="0"/>
                <w:numId w:val="2"/>
              </w:numPr>
              <w:tabs>
                <w:tab w:val="left" w:pos="851"/>
              </w:tabs>
              <w:ind w:left="852" w:hanging="567"/>
              <w:jc w:val="both"/>
              <w:rPr>
                <w:rFonts w:ascii="Arial" w:hAnsi="Arial" w:cs="Arial"/>
                <w:sz w:val="18"/>
                <w:szCs w:val="18"/>
              </w:rPr>
            </w:pPr>
            <w:r w:rsidRPr="00AD710A">
              <w:rPr>
                <w:rFonts w:ascii="Arial" w:hAnsi="Arial" w:cs="Arial"/>
                <w:sz w:val="18"/>
                <w:szCs w:val="18"/>
              </w:rPr>
              <w:t>Conduct a “dip stick” analysis and leadership interviews;</w:t>
            </w:r>
          </w:p>
          <w:p w:rsidR="00AD710A" w:rsidRPr="00AD710A" w:rsidRDefault="00AD710A" w:rsidP="00AD710A">
            <w:pPr>
              <w:widowControl w:val="0"/>
              <w:numPr>
                <w:ilvl w:val="0"/>
                <w:numId w:val="2"/>
              </w:numPr>
              <w:tabs>
                <w:tab w:val="left" w:pos="851"/>
              </w:tabs>
              <w:ind w:left="1985" w:hanging="1700"/>
              <w:jc w:val="both"/>
              <w:rPr>
                <w:rFonts w:ascii="Arial" w:hAnsi="Arial" w:cs="Arial"/>
                <w:sz w:val="18"/>
                <w:szCs w:val="18"/>
              </w:rPr>
            </w:pPr>
            <w:r w:rsidRPr="00AD710A">
              <w:rPr>
                <w:rFonts w:ascii="Arial" w:hAnsi="Arial" w:cs="Arial"/>
                <w:sz w:val="18"/>
                <w:szCs w:val="18"/>
              </w:rPr>
              <w:t>Employee engagement survey results; and</w:t>
            </w:r>
          </w:p>
          <w:p w:rsidR="00AD710A" w:rsidRPr="00AD710A" w:rsidRDefault="00AD710A" w:rsidP="00AD710A">
            <w:pPr>
              <w:widowControl w:val="0"/>
              <w:numPr>
                <w:ilvl w:val="0"/>
                <w:numId w:val="2"/>
              </w:numPr>
              <w:tabs>
                <w:tab w:val="left" w:pos="851"/>
              </w:tabs>
              <w:ind w:left="1985" w:hanging="1700"/>
              <w:jc w:val="both"/>
              <w:rPr>
                <w:rFonts w:ascii="Arial" w:hAnsi="Arial" w:cs="Arial"/>
                <w:sz w:val="18"/>
                <w:szCs w:val="18"/>
              </w:rPr>
            </w:pPr>
            <w:r w:rsidRPr="00AD710A">
              <w:rPr>
                <w:rFonts w:ascii="Arial" w:hAnsi="Arial" w:cs="Arial"/>
                <w:sz w:val="18"/>
                <w:szCs w:val="18"/>
              </w:rPr>
              <w:t>SARS’ strategy and annual performance plan</w:t>
            </w:r>
          </w:p>
          <w:p w:rsidR="00AD710A" w:rsidRDefault="00AD710A" w:rsidP="00AD710A">
            <w:pPr>
              <w:widowControl w:val="0"/>
              <w:numPr>
                <w:ilvl w:val="0"/>
                <w:numId w:val="2"/>
              </w:numPr>
              <w:tabs>
                <w:tab w:val="left" w:pos="851"/>
              </w:tabs>
              <w:ind w:left="852" w:hanging="567"/>
              <w:jc w:val="both"/>
              <w:rPr>
                <w:rFonts w:ascii="Arial" w:hAnsi="Arial" w:cs="Arial"/>
                <w:sz w:val="18"/>
                <w:szCs w:val="18"/>
              </w:rPr>
            </w:pPr>
            <w:r>
              <w:rPr>
                <w:rFonts w:ascii="Arial" w:hAnsi="Arial" w:cs="Arial"/>
                <w:sz w:val="18"/>
                <w:szCs w:val="18"/>
              </w:rPr>
              <w:t>SARS Service charter, governance framework and values.</w:t>
            </w:r>
          </w:p>
          <w:p w:rsidR="00AD710A" w:rsidRPr="00AD710A" w:rsidRDefault="00AD710A" w:rsidP="00AD710A">
            <w:pPr>
              <w:widowControl w:val="0"/>
              <w:tabs>
                <w:tab w:val="left" w:pos="851"/>
              </w:tabs>
              <w:ind w:left="852"/>
              <w:jc w:val="both"/>
              <w:rPr>
                <w:rFonts w:ascii="Arial" w:hAnsi="Arial" w:cs="Arial"/>
                <w:sz w:val="18"/>
                <w:szCs w:val="18"/>
              </w:rPr>
            </w:pPr>
          </w:p>
          <w:p w:rsidR="00AD710A" w:rsidRDefault="00AD710A" w:rsidP="00AD710A">
            <w:pPr>
              <w:pStyle w:val="ListParagraph"/>
              <w:widowControl w:val="0"/>
              <w:numPr>
                <w:ilvl w:val="0"/>
                <w:numId w:val="4"/>
              </w:numPr>
              <w:tabs>
                <w:tab w:val="left" w:pos="1560"/>
              </w:tabs>
              <w:ind w:left="285" w:hanging="283"/>
              <w:jc w:val="both"/>
              <w:rPr>
                <w:rFonts w:ascii="Arial" w:hAnsi="Arial" w:cs="Arial"/>
                <w:sz w:val="18"/>
                <w:szCs w:val="18"/>
              </w:rPr>
            </w:pPr>
            <w:r w:rsidRPr="00AD710A">
              <w:rPr>
                <w:rFonts w:ascii="Arial" w:hAnsi="Arial" w:cs="Arial"/>
                <w:sz w:val="18"/>
                <w:szCs w:val="18"/>
              </w:rPr>
              <w:t>Attend preparatory meetings aimed at providing insights to relevant information.</w:t>
            </w:r>
          </w:p>
          <w:p w:rsidR="00AD710A" w:rsidRDefault="00AD710A" w:rsidP="00AD710A">
            <w:pPr>
              <w:pStyle w:val="ListParagraph"/>
              <w:widowControl w:val="0"/>
              <w:tabs>
                <w:tab w:val="left" w:pos="1560"/>
              </w:tabs>
              <w:jc w:val="both"/>
              <w:rPr>
                <w:rFonts w:ascii="Arial" w:hAnsi="Arial" w:cs="Arial"/>
                <w:sz w:val="18"/>
                <w:szCs w:val="18"/>
              </w:rPr>
            </w:pPr>
          </w:p>
          <w:p w:rsidR="00A11A18" w:rsidRPr="00AD710A" w:rsidRDefault="00AD710A" w:rsidP="00055227">
            <w:pPr>
              <w:pStyle w:val="ListParagraph"/>
              <w:widowControl w:val="0"/>
              <w:numPr>
                <w:ilvl w:val="0"/>
                <w:numId w:val="4"/>
              </w:numPr>
              <w:tabs>
                <w:tab w:val="left" w:pos="1560"/>
              </w:tabs>
              <w:ind w:left="285" w:hanging="283"/>
              <w:jc w:val="both"/>
              <w:rPr>
                <w:rFonts w:ascii="Arial" w:hAnsi="Arial" w:cs="Arial"/>
                <w:sz w:val="18"/>
                <w:szCs w:val="18"/>
              </w:rPr>
            </w:pPr>
            <w:r w:rsidRPr="00AD710A">
              <w:rPr>
                <w:rFonts w:ascii="Arial" w:hAnsi="Arial" w:cs="Arial"/>
                <w:sz w:val="18"/>
                <w:szCs w:val="18"/>
              </w:rPr>
              <w:t xml:space="preserve">Ensure adequate preparatory planning required </w:t>
            </w:r>
            <w:proofErr w:type="gramStart"/>
            <w:r w:rsidRPr="00AD710A">
              <w:rPr>
                <w:rFonts w:ascii="Arial" w:hAnsi="Arial" w:cs="Arial"/>
                <w:sz w:val="18"/>
                <w:szCs w:val="18"/>
              </w:rPr>
              <w:t>to enable</w:t>
            </w:r>
            <w:proofErr w:type="gramEnd"/>
            <w:r w:rsidRPr="00AD710A">
              <w:rPr>
                <w:rFonts w:ascii="Arial" w:hAnsi="Arial" w:cs="Arial"/>
                <w:sz w:val="18"/>
                <w:szCs w:val="18"/>
              </w:rPr>
              <w:t xml:space="preserve"> the effective delivery of each session. This will include review of relevant internal documentation, interviews or meeting with relevant stakeho</w:t>
            </w:r>
            <w:r w:rsidR="00055227">
              <w:rPr>
                <w:rFonts w:ascii="Arial" w:hAnsi="Arial" w:cs="Arial"/>
                <w:sz w:val="18"/>
                <w:szCs w:val="18"/>
              </w:rPr>
              <w:t>lders, site visits of the venue.</w:t>
            </w:r>
          </w:p>
        </w:tc>
        <w:tc>
          <w:tcPr>
            <w:tcW w:w="2300" w:type="dxa"/>
            <w:vMerge w:val="restart"/>
          </w:tcPr>
          <w:p w:rsidR="00A11A18" w:rsidRDefault="005B132E">
            <w:pPr>
              <w:rPr>
                <w:rFonts w:ascii="Arial" w:hAnsi="Arial" w:cs="Arial"/>
                <w:b/>
              </w:rPr>
            </w:pPr>
            <w:r w:rsidRPr="005B132E">
              <w:rPr>
                <w:rFonts w:ascii="Arial" w:hAnsi="Arial" w:cs="Arial"/>
                <w:b/>
                <w:color w:val="FF0000"/>
              </w:rPr>
              <w:t>If the Service Provider doesn’t invoice us for the planning process, service credits would not be applicable</w:t>
            </w:r>
          </w:p>
        </w:tc>
      </w:tr>
      <w:tr w:rsidR="00A11A18" w:rsidTr="00A11A18">
        <w:trPr>
          <w:trHeight w:val="1140"/>
        </w:trPr>
        <w:tc>
          <w:tcPr>
            <w:tcW w:w="2518" w:type="dxa"/>
            <w:vMerge/>
          </w:tcPr>
          <w:p w:rsidR="00A11A18" w:rsidRDefault="00A11A18">
            <w:pPr>
              <w:rPr>
                <w:rFonts w:ascii="Arial" w:hAnsi="Arial" w:cs="Arial"/>
                <w:b/>
              </w:rPr>
            </w:pPr>
          </w:p>
        </w:tc>
        <w:tc>
          <w:tcPr>
            <w:tcW w:w="4568" w:type="dxa"/>
            <w:gridSpan w:val="3"/>
          </w:tcPr>
          <w:p w:rsidR="00A11A18" w:rsidRDefault="00A11A18">
            <w:pPr>
              <w:rPr>
                <w:rFonts w:ascii="Arial" w:hAnsi="Arial" w:cs="Arial"/>
                <w:b/>
              </w:rPr>
            </w:pPr>
            <w:r w:rsidRPr="0069045A">
              <w:rPr>
                <w:rFonts w:ascii="Arial" w:hAnsi="Arial" w:cs="Arial"/>
                <w:b/>
                <w:color w:val="FF0000"/>
              </w:rPr>
              <w:t>??</w:t>
            </w:r>
          </w:p>
        </w:tc>
        <w:tc>
          <w:tcPr>
            <w:tcW w:w="4788" w:type="dxa"/>
            <w:vMerge/>
          </w:tcPr>
          <w:p w:rsidR="00A11A18" w:rsidRDefault="00A11A18">
            <w:pPr>
              <w:rPr>
                <w:rFonts w:ascii="Arial" w:hAnsi="Arial" w:cs="Arial"/>
                <w:b/>
              </w:rPr>
            </w:pPr>
          </w:p>
        </w:tc>
        <w:tc>
          <w:tcPr>
            <w:tcW w:w="2300" w:type="dxa"/>
            <w:vMerge/>
          </w:tcPr>
          <w:p w:rsidR="00A11A18" w:rsidRDefault="00A11A18">
            <w:pPr>
              <w:rPr>
                <w:rFonts w:ascii="Arial" w:hAnsi="Arial" w:cs="Arial"/>
                <w:b/>
              </w:rPr>
            </w:pPr>
          </w:p>
        </w:tc>
      </w:tr>
      <w:tr w:rsidR="00A11A18" w:rsidTr="002D71FA">
        <w:trPr>
          <w:trHeight w:val="378"/>
        </w:trPr>
        <w:tc>
          <w:tcPr>
            <w:tcW w:w="2518" w:type="dxa"/>
            <w:vMerge w:val="restart"/>
          </w:tcPr>
          <w:p w:rsidR="00A11A18" w:rsidRDefault="00A11A18">
            <w:pPr>
              <w:rPr>
                <w:rFonts w:ascii="Arial" w:hAnsi="Arial" w:cs="Arial"/>
                <w:b/>
              </w:rPr>
            </w:pPr>
            <w:r>
              <w:rPr>
                <w:rFonts w:ascii="Arial" w:hAnsi="Arial" w:cs="Arial"/>
                <w:b/>
              </w:rPr>
              <w:t>EXCO LEADERSHIP ALIGNMENT SESSIONS</w:t>
            </w: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p>
          <w:p w:rsidR="00055227" w:rsidRDefault="00055227">
            <w:pPr>
              <w:rPr>
                <w:rFonts w:ascii="Arial" w:hAnsi="Arial" w:cs="Arial"/>
                <w:b/>
              </w:rPr>
            </w:pPr>
            <w:r>
              <w:rPr>
                <w:rFonts w:ascii="Arial" w:hAnsi="Arial" w:cs="Arial"/>
                <w:b/>
              </w:rPr>
              <w:lastRenderedPageBreak/>
              <w:t>EXCO LEADERSHIP ALIGNMENT SESSIONS</w:t>
            </w:r>
          </w:p>
        </w:tc>
        <w:tc>
          <w:tcPr>
            <w:tcW w:w="1522" w:type="dxa"/>
          </w:tcPr>
          <w:p w:rsidR="00A11A18" w:rsidRPr="00900FCB" w:rsidRDefault="00A11A18">
            <w:pPr>
              <w:rPr>
                <w:rFonts w:ascii="Arial" w:hAnsi="Arial" w:cs="Arial"/>
                <w:b/>
                <w:sz w:val="18"/>
                <w:szCs w:val="18"/>
              </w:rPr>
            </w:pPr>
            <w:r w:rsidRPr="00900FCB">
              <w:rPr>
                <w:rFonts w:ascii="Arial" w:hAnsi="Arial" w:cs="Arial"/>
                <w:b/>
                <w:sz w:val="18"/>
                <w:szCs w:val="18"/>
              </w:rPr>
              <w:lastRenderedPageBreak/>
              <w:t>No of sessions</w:t>
            </w:r>
            <w:r w:rsidR="00900FCB" w:rsidRPr="00900FCB">
              <w:rPr>
                <w:rFonts w:ascii="Arial" w:hAnsi="Arial" w:cs="Arial"/>
                <w:b/>
                <w:sz w:val="18"/>
                <w:szCs w:val="18"/>
              </w:rPr>
              <w:t xml:space="preserve"> of 3 days each</w:t>
            </w:r>
          </w:p>
        </w:tc>
        <w:tc>
          <w:tcPr>
            <w:tcW w:w="1523" w:type="dxa"/>
          </w:tcPr>
          <w:p w:rsidR="00A11A18" w:rsidRPr="00900FCB" w:rsidRDefault="00A11A18">
            <w:pPr>
              <w:rPr>
                <w:rFonts w:ascii="Arial" w:hAnsi="Arial" w:cs="Arial"/>
                <w:b/>
                <w:sz w:val="18"/>
                <w:szCs w:val="18"/>
              </w:rPr>
            </w:pPr>
            <w:r w:rsidRPr="00900FCB">
              <w:rPr>
                <w:rFonts w:ascii="Arial" w:hAnsi="Arial" w:cs="Arial"/>
                <w:b/>
                <w:sz w:val="18"/>
                <w:szCs w:val="18"/>
              </w:rPr>
              <w:t>Proposed dates</w:t>
            </w:r>
          </w:p>
        </w:tc>
        <w:tc>
          <w:tcPr>
            <w:tcW w:w="1523" w:type="dxa"/>
          </w:tcPr>
          <w:p w:rsidR="00A11A18" w:rsidRPr="00900FCB" w:rsidRDefault="00A11A18">
            <w:pPr>
              <w:rPr>
                <w:rFonts w:ascii="Arial" w:hAnsi="Arial" w:cs="Arial"/>
                <w:b/>
                <w:sz w:val="18"/>
                <w:szCs w:val="18"/>
              </w:rPr>
            </w:pPr>
            <w:r w:rsidRPr="00900FCB">
              <w:rPr>
                <w:rFonts w:ascii="Arial" w:hAnsi="Arial" w:cs="Arial"/>
                <w:b/>
                <w:sz w:val="18"/>
                <w:szCs w:val="18"/>
              </w:rPr>
              <w:t>No of facilitators and resources</w:t>
            </w:r>
          </w:p>
        </w:tc>
        <w:tc>
          <w:tcPr>
            <w:tcW w:w="4788" w:type="dxa"/>
            <w:vMerge w:val="restart"/>
          </w:tcPr>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Lead the 3 (three) days’ EXCO Leadership Alignment Sessions and ensure achievement of the workshop objectives across strategic, operational and culture aspects</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Review outcomes of the previous EXCO new ways of working session</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Establish the current status quo and create alignment to enable achievement of the SARS strategic objectives</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Create group thinking around leadership values leadership philosophy and people philosophy</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 xml:space="preserve">Adopt leadership behaviours and new ways of working and create a common understanding to ensure consistency in modelling of adopted </w:t>
            </w:r>
            <w:r w:rsidRPr="00055227">
              <w:rPr>
                <w:rFonts w:ascii="Arial" w:hAnsi="Arial" w:cs="Arial"/>
                <w:sz w:val="18"/>
                <w:szCs w:val="18"/>
              </w:rPr>
              <w:lastRenderedPageBreak/>
              <w:t>behaviours</w:t>
            </w:r>
            <w:r>
              <w:rPr>
                <w:rFonts w:ascii="Arial" w:hAnsi="Arial" w:cs="Arial"/>
                <w:sz w:val="18"/>
                <w:szCs w:val="18"/>
              </w:rPr>
              <w:t>.</w:t>
            </w:r>
            <w:r w:rsidRPr="00055227">
              <w:rPr>
                <w:rFonts w:ascii="Arial" w:hAnsi="Arial" w:cs="Arial"/>
                <w:sz w:val="18"/>
                <w:szCs w:val="18"/>
              </w:rPr>
              <w:t xml:space="preserve"> </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Facilitate a co-creation process, share information and provide an opportunity to contribute inputs into the SARS Culture Transformation programme</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Bring SARS’ vision, values and code of conduct to life through alignment of leadership behaviours</w:t>
            </w:r>
            <w:r>
              <w:rPr>
                <w:rFonts w:ascii="Arial" w:hAnsi="Arial" w:cs="Arial"/>
                <w:sz w:val="18"/>
                <w:szCs w:val="18"/>
              </w:rPr>
              <w:t>.</w:t>
            </w:r>
            <w:r w:rsidRPr="00055227">
              <w:rPr>
                <w:rFonts w:ascii="Arial" w:hAnsi="Arial" w:cs="Arial"/>
                <w:sz w:val="18"/>
                <w:szCs w:val="18"/>
              </w:rPr>
              <w:t xml:space="preserve"> </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 xml:space="preserve">Improve team cohesion at leadership level by facilitating a team building process inclusive of personal. </w:t>
            </w:r>
            <w:proofErr w:type="gramStart"/>
            <w:r w:rsidRPr="00055227">
              <w:rPr>
                <w:rFonts w:ascii="Arial" w:hAnsi="Arial" w:cs="Arial"/>
                <w:sz w:val="18"/>
                <w:szCs w:val="18"/>
              </w:rPr>
              <w:t>experience</w:t>
            </w:r>
            <w:proofErr w:type="gramEnd"/>
            <w:r w:rsidRPr="00055227">
              <w:rPr>
                <w:rFonts w:ascii="Arial" w:hAnsi="Arial" w:cs="Arial"/>
                <w:sz w:val="18"/>
                <w:szCs w:val="18"/>
              </w:rPr>
              <w:t xml:space="preserve"> shared and personal contribution to SARS</w:t>
            </w:r>
            <w:r>
              <w:rPr>
                <w:rFonts w:ascii="Arial" w:hAnsi="Arial" w:cs="Arial"/>
                <w:sz w:val="18"/>
                <w:szCs w:val="18"/>
              </w:rPr>
              <w:t>.</w:t>
            </w:r>
            <w:r w:rsidRPr="00055227">
              <w:rPr>
                <w:rFonts w:ascii="Arial" w:hAnsi="Arial" w:cs="Arial"/>
                <w:sz w:val="18"/>
                <w:szCs w:val="18"/>
              </w:rPr>
              <w:t xml:space="preserve"> </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Facilitate Strategic planning and review process to enable SARS EXCO to reflect on where SARS is in terms of performance against its Strategic objectives and in relation to its operating environment (i.e. SWOT Analysis)</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Facilitate alignment of SARS planning and reporting processes; ensuring there is clear understanding of leadership role and responsibilities in driving their respective divisional planning, review and reporting requirements</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 xml:space="preserve">Facilitate deliberations resulting in </w:t>
            </w:r>
            <w:r>
              <w:rPr>
                <w:rFonts w:ascii="Arial" w:hAnsi="Arial" w:cs="Arial"/>
                <w:sz w:val="18"/>
                <w:szCs w:val="18"/>
              </w:rPr>
              <w:t>the SARS EXCO understanding of s</w:t>
            </w:r>
            <w:r w:rsidRPr="00055227">
              <w:rPr>
                <w:rFonts w:ascii="Arial" w:hAnsi="Arial" w:cs="Arial"/>
                <w:sz w:val="18"/>
                <w:szCs w:val="18"/>
              </w:rPr>
              <w:t>takeholder expectations; governance and service levels that are critical for optimal organisational reputation management</w:t>
            </w:r>
            <w:r>
              <w:rPr>
                <w:rFonts w:ascii="Arial" w:hAnsi="Arial" w:cs="Arial"/>
                <w:sz w:val="18"/>
                <w:szCs w:val="18"/>
              </w:rPr>
              <w:t>.</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Create a platform for SARS EXCO to understand their role and take ownership of the way forward and in driving organisational change through visible sp</w:t>
            </w:r>
            <w:r>
              <w:rPr>
                <w:rFonts w:ascii="Arial" w:hAnsi="Arial" w:cs="Arial"/>
                <w:sz w:val="18"/>
                <w:szCs w:val="18"/>
              </w:rPr>
              <w:t xml:space="preserve">onsorship and ownership of the </w:t>
            </w:r>
            <w:r w:rsidRPr="00055227">
              <w:rPr>
                <w:rFonts w:ascii="Arial" w:hAnsi="Arial" w:cs="Arial"/>
                <w:sz w:val="18"/>
                <w:szCs w:val="18"/>
              </w:rPr>
              <w:t>cascading process and to driving compliance thereof</w:t>
            </w:r>
            <w:r>
              <w:rPr>
                <w:rFonts w:ascii="Arial" w:hAnsi="Arial" w:cs="Arial"/>
                <w:sz w:val="18"/>
                <w:szCs w:val="18"/>
              </w:rPr>
              <w:t>.</w:t>
            </w:r>
            <w:r w:rsidRPr="00055227">
              <w:rPr>
                <w:rFonts w:ascii="Arial" w:hAnsi="Arial" w:cs="Arial"/>
                <w:sz w:val="18"/>
                <w:szCs w:val="18"/>
              </w:rPr>
              <w:t xml:space="preserve"> </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Enable SARS EXCO strategic alignment and commitment on the journey and actions required to optimally transition into the future-state and optimally deliver on set objectives.</w:t>
            </w:r>
          </w:p>
          <w:p w:rsidR="00055227"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Guide SARS EXCO on principles of ensuring proper trans</w:t>
            </w:r>
            <w:r>
              <w:rPr>
                <w:rFonts w:ascii="Arial" w:hAnsi="Arial" w:cs="Arial"/>
                <w:sz w:val="18"/>
                <w:szCs w:val="18"/>
              </w:rPr>
              <w:t xml:space="preserve">formation results delivery and </w:t>
            </w:r>
            <w:r w:rsidRPr="00055227">
              <w:rPr>
                <w:rFonts w:ascii="Arial" w:hAnsi="Arial" w:cs="Arial"/>
                <w:sz w:val="18"/>
                <w:szCs w:val="18"/>
              </w:rPr>
              <w:t xml:space="preserve">enable a better understanding for the </w:t>
            </w:r>
            <w:proofErr w:type="gramStart"/>
            <w:r w:rsidRPr="00055227">
              <w:rPr>
                <w:rFonts w:ascii="Arial" w:hAnsi="Arial" w:cs="Arial"/>
                <w:sz w:val="18"/>
                <w:szCs w:val="18"/>
              </w:rPr>
              <w:t>leadership  to</w:t>
            </w:r>
            <w:proofErr w:type="gramEnd"/>
            <w:r w:rsidRPr="00055227">
              <w:rPr>
                <w:rFonts w:ascii="Arial" w:hAnsi="Arial" w:cs="Arial"/>
                <w:sz w:val="18"/>
                <w:szCs w:val="18"/>
              </w:rPr>
              <w:t xml:space="preserve"> embed  desired culture change and new ways of work</w:t>
            </w:r>
            <w:r>
              <w:rPr>
                <w:rFonts w:ascii="Arial" w:hAnsi="Arial" w:cs="Arial"/>
                <w:sz w:val="18"/>
                <w:szCs w:val="18"/>
              </w:rPr>
              <w:t>.</w:t>
            </w:r>
          </w:p>
          <w:p w:rsidR="00A11A18" w:rsidRDefault="00055227" w:rsidP="00055227">
            <w:pPr>
              <w:pStyle w:val="ListParagraph"/>
              <w:numPr>
                <w:ilvl w:val="1"/>
                <w:numId w:val="3"/>
              </w:numPr>
              <w:ind w:left="285" w:hanging="283"/>
              <w:jc w:val="both"/>
              <w:rPr>
                <w:rFonts w:ascii="Arial" w:hAnsi="Arial" w:cs="Arial"/>
                <w:sz w:val="18"/>
                <w:szCs w:val="18"/>
              </w:rPr>
            </w:pPr>
            <w:r w:rsidRPr="00055227">
              <w:rPr>
                <w:rFonts w:ascii="Arial" w:hAnsi="Arial" w:cs="Arial"/>
                <w:sz w:val="18"/>
                <w:szCs w:val="18"/>
              </w:rPr>
              <w:t>Enable commitment, ownership and buy-in to lead the National Management Forum as a critical path to driving the SARS Culture Transformation programme.</w:t>
            </w:r>
          </w:p>
          <w:p w:rsidR="00055227" w:rsidRDefault="00055227" w:rsidP="00055227">
            <w:pPr>
              <w:pStyle w:val="ListParagraph"/>
              <w:ind w:left="285"/>
              <w:jc w:val="both"/>
              <w:rPr>
                <w:rFonts w:ascii="Arial" w:hAnsi="Arial" w:cs="Arial"/>
                <w:sz w:val="18"/>
                <w:szCs w:val="18"/>
              </w:rPr>
            </w:pPr>
          </w:p>
          <w:p w:rsidR="00055227" w:rsidRPr="00055227" w:rsidRDefault="00055227" w:rsidP="00055227">
            <w:pPr>
              <w:pStyle w:val="ListParagraph"/>
              <w:ind w:left="285"/>
              <w:jc w:val="both"/>
              <w:rPr>
                <w:rFonts w:ascii="Arial" w:hAnsi="Arial" w:cs="Arial"/>
                <w:sz w:val="18"/>
                <w:szCs w:val="18"/>
              </w:rPr>
            </w:pPr>
          </w:p>
        </w:tc>
        <w:tc>
          <w:tcPr>
            <w:tcW w:w="2300" w:type="dxa"/>
            <w:vMerge w:val="restart"/>
          </w:tcPr>
          <w:p w:rsidR="00A11A18" w:rsidRDefault="005B132E">
            <w:pPr>
              <w:rPr>
                <w:rFonts w:ascii="Arial" w:hAnsi="Arial" w:cs="Arial"/>
                <w:b/>
                <w:sz w:val="18"/>
                <w:szCs w:val="18"/>
              </w:rPr>
            </w:pPr>
            <w:commentRangeStart w:id="0"/>
            <w:r w:rsidRPr="005B132E">
              <w:rPr>
                <w:rFonts w:ascii="Arial" w:hAnsi="Arial" w:cs="Arial"/>
                <w:b/>
                <w:sz w:val="18"/>
                <w:szCs w:val="18"/>
              </w:rPr>
              <w:lastRenderedPageBreak/>
              <w:t>5</w:t>
            </w:r>
            <w:commentRangeEnd w:id="0"/>
            <w:r w:rsidR="00D91AE5">
              <w:rPr>
                <w:rStyle w:val="CommentReference"/>
              </w:rPr>
              <w:commentReference w:id="0"/>
            </w:r>
            <w:r w:rsidRPr="005B132E">
              <w:rPr>
                <w:rFonts w:ascii="Arial" w:hAnsi="Arial" w:cs="Arial"/>
                <w:b/>
                <w:sz w:val="18"/>
                <w:szCs w:val="18"/>
              </w:rPr>
              <w:t>%</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Pr="005B132E" w:rsidRDefault="005B132E">
            <w:pPr>
              <w:rPr>
                <w:rFonts w:ascii="Arial" w:hAnsi="Arial" w:cs="Arial"/>
                <w:b/>
                <w:sz w:val="18"/>
                <w:szCs w:val="18"/>
              </w:rPr>
            </w:pPr>
          </w:p>
        </w:tc>
      </w:tr>
      <w:tr w:rsidR="00A11A18" w:rsidTr="002D71FA">
        <w:trPr>
          <w:trHeight w:val="378"/>
        </w:trPr>
        <w:tc>
          <w:tcPr>
            <w:tcW w:w="2518" w:type="dxa"/>
            <w:vMerge/>
          </w:tcPr>
          <w:p w:rsidR="00A11A18" w:rsidRDefault="00A11A18">
            <w:pPr>
              <w:rPr>
                <w:rFonts w:ascii="Arial" w:hAnsi="Arial" w:cs="Arial"/>
                <w:b/>
              </w:rPr>
            </w:pPr>
          </w:p>
        </w:tc>
        <w:tc>
          <w:tcPr>
            <w:tcW w:w="1522" w:type="dxa"/>
          </w:tcPr>
          <w:p w:rsidR="00A11A18" w:rsidRPr="00900FCB" w:rsidRDefault="00900FCB" w:rsidP="00900FCB">
            <w:pPr>
              <w:jc w:val="center"/>
              <w:rPr>
                <w:rFonts w:ascii="Arial" w:hAnsi="Arial" w:cs="Arial"/>
                <w:b/>
                <w:sz w:val="18"/>
                <w:szCs w:val="18"/>
              </w:rPr>
            </w:pPr>
            <w:r>
              <w:rPr>
                <w:rFonts w:ascii="Arial" w:hAnsi="Arial" w:cs="Arial"/>
                <w:b/>
                <w:sz w:val="18"/>
                <w:szCs w:val="18"/>
              </w:rPr>
              <w:t>4</w:t>
            </w:r>
          </w:p>
        </w:tc>
        <w:tc>
          <w:tcPr>
            <w:tcW w:w="1523" w:type="dxa"/>
          </w:tcPr>
          <w:p w:rsidR="00A11A18" w:rsidRDefault="00900FCB" w:rsidP="00900FCB">
            <w:pPr>
              <w:pStyle w:val="ListParagraph"/>
              <w:numPr>
                <w:ilvl w:val="0"/>
                <w:numId w:val="1"/>
              </w:numPr>
              <w:ind w:left="213" w:hanging="213"/>
              <w:rPr>
                <w:rFonts w:ascii="Arial" w:hAnsi="Arial" w:cs="Arial"/>
                <w:b/>
                <w:sz w:val="18"/>
                <w:szCs w:val="18"/>
              </w:rPr>
            </w:pPr>
            <w:r w:rsidRPr="00900FCB">
              <w:rPr>
                <w:rFonts w:ascii="Arial" w:hAnsi="Arial" w:cs="Arial"/>
                <w:b/>
                <w:sz w:val="18"/>
                <w:szCs w:val="18"/>
              </w:rPr>
              <w:t>Nov – Dec 2018</w:t>
            </w:r>
          </w:p>
          <w:p w:rsid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Apr – June 2019</w:t>
            </w:r>
          </w:p>
          <w:p w:rsid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Oct – Dec 2019</w:t>
            </w:r>
          </w:p>
          <w:p w:rsidR="00900FCB" w:rsidRP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Apr – June 2020</w:t>
            </w:r>
          </w:p>
          <w:p w:rsidR="00900FCB" w:rsidRPr="00900FCB" w:rsidRDefault="00900FCB">
            <w:pPr>
              <w:rPr>
                <w:rFonts w:ascii="Arial" w:hAnsi="Arial" w:cs="Arial"/>
                <w:b/>
                <w:sz w:val="18"/>
                <w:szCs w:val="18"/>
              </w:rPr>
            </w:pPr>
          </w:p>
        </w:tc>
        <w:tc>
          <w:tcPr>
            <w:tcW w:w="1523" w:type="dxa"/>
          </w:tcPr>
          <w:p w:rsidR="00A11A18" w:rsidRDefault="00900FCB">
            <w:pPr>
              <w:rPr>
                <w:rFonts w:ascii="Arial" w:hAnsi="Arial" w:cs="Arial"/>
                <w:b/>
                <w:sz w:val="18"/>
                <w:szCs w:val="18"/>
              </w:rPr>
            </w:pPr>
            <w:r>
              <w:rPr>
                <w:rFonts w:ascii="Arial" w:hAnsi="Arial" w:cs="Arial"/>
                <w:b/>
                <w:sz w:val="18"/>
                <w:szCs w:val="18"/>
              </w:rPr>
              <w:t>2 Facilitators</w:t>
            </w:r>
          </w:p>
          <w:p w:rsidR="00900FCB" w:rsidRDefault="00900FCB">
            <w:pPr>
              <w:rPr>
                <w:rFonts w:ascii="Arial" w:hAnsi="Arial" w:cs="Arial"/>
                <w:b/>
                <w:sz w:val="18"/>
                <w:szCs w:val="18"/>
              </w:rPr>
            </w:pPr>
          </w:p>
          <w:p w:rsidR="00900FCB" w:rsidRPr="00900FCB" w:rsidRDefault="00900FCB">
            <w:pPr>
              <w:rPr>
                <w:rFonts w:ascii="Arial" w:hAnsi="Arial" w:cs="Arial"/>
                <w:b/>
                <w:sz w:val="18"/>
                <w:szCs w:val="18"/>
              </w:rPr>
            </w:pPr>
            <w:r>
              <w:rPr>
                <w:rFonts w:ascii="Arial" w:hAnsi="Arial" w:cs="Arial"/>
                <w:b/>
                <w:sz w:val="18"/>
                <w:szCs w:val="18"/>
              </w:rPr>
              <w:t>2 Resources</w:t>
            </w:r>
          </w:p>
        </w:tc>
        <w:tc>
          <w:tcPr>
            <w:tcW w:w="4788" w:type="dxa"/>
            <w:vMerge/>
          </w:tcPr>
          <w:p w:rsidR="00A11A18" w:rsidRDefault="00A11A18">
            <w:pPr>
              <w:rPr>
                <w:rFonts w:ascii="Arial" w:hAnsi="Arial" w:cs="Arial"/>
                <w:b/>
              </w:rPr>
            </w:pPr>
          </w:p>
        </w:tc>
        <w:tc>
          <w:tcPr>
            <w:tcW w:w="2300" w:type="dxa"/>
            <w:vMerge/>
          </w:tcPr>
          <w:p w:rsidR="00A11A18" w:rsidRDefault="00A11A18">
            <w:pPr>
              <w:rPr>
                <w:rFonts w:ascii="Arial" w:hAnsi="Arial" w:cs="Arial"/>
                <w:b/>
              </w:rPr>
            </w:pPr>
          </w:p>
        </w:tc>
      </w:tr>
      <w:tr w:rsidR="00A11A18" w:rsidTr="00750F8E">
        <w:trPr>
          <w:trHeight w:val="504"/>
        </w:trPr>
        <w:tc>
          <w:tcPr>
            <w:tcW w:w="2518" w:type="dxa"/>
            <w:vMerge w:val="restart"/>
          </w:tcPr>
          <w:p w:rsidR="00A11A18" w:rsidRDefault="00A11A18">
            <w:pPr>
              <w:rPr>
                <w:rFonts w:ascii="Arial" w:hAnsi="Arial" w:cs="Arial"/>
                <w:b/>
              </w:rPr>
            </w:pPr>
            <w:r>
              <w:rPr>
                <w:rFonts w:ascii="Arial" w:hAnsi="Arial" w:cs="Arial"/>
                <w:b/>
              </w:rPr>
              <w:lastRenderedPageBreak/>
              <w:t>NATIONAL MANAGEMENT FORUM WORKSHOPS</w:t>
            </w:r>
          </w:p>
        </w:tc>
        <w:tc>
          <w:tcPr>
            <w:tcW w:w="1522" w:type="dxa"/>
          </w:tcPr>
          <w:p w:rsidR="00A11A18" w:rsidRPr="00900FCB" w:rsidRDefault="00A11A18">
            <w:pPr>
              <w:rPr>
                <w:rFonts w:ascii="Arial" w:hAnsi="Arial" w:cs="Arial"/>
                <w:b/>
                <w:sz w:val="18"/>
                <w:szCs w:val="18"/>
              </w:rPr>
            </w:pPr>
            <w:r w:rsidRPr="00900FCB">
              <w:rPr>
                <w:rFonts w:ascii="Arial" w:hAnsi="Arial" w:cs="Arial"/>
                <w:b/>
                <w:sz w:val="18"/>
                <w:szCs w:val="18"/>
              </w:rPr>
              <w:t>No of sessions</w:t>
            </w:r>
            <w:r w:rsidR="00900FCB" w:rsidRPr="00900FCB">
              <w:rPr>
                <w:rFonts w:ascii="Arial" w:hAnsi="Arial" w:cs="Arial"/>
                <w:b/>
                <w:sz w:val="18"/>
                <w:szCs w:val="18"/>
              </w:rPr>
              <w:t xml:space="preserve"> of 3 days each</w:t>
            </w:r>
          </w:p>
        </w:tc>
        <w:tc>
          <w:tcPr>
            <w:tcW w:w="1523" w:type="dxa"/>
          </w:tcPr>
          <w:p w:rsidR="00A11A18" w:rsidRPr="00900FCB" w:rsidRDefault="00A11A18">
            <w:pPr>
              <w:rPr>
                <w:rFonts w:ascii="Arial" w:hAnsi="Arial" w:cs="Arial"/>
                <w:b/>
                <w:sz w:val="18"/>
                <w:szCs w:val="18"/>
              </w:rPr>
            </w:pPr>
            <w:r w:rsidRPr="00900FCB">
              <w:rPr>
                <w:rFonts w:ascii="Arial" w:hAnsi="Arial" w:cs="Arial"/>
                <w:b/>
                <w:sz w:val="18"/>
                <w:szCs w:val="18"/>
              </w:rPr>
              <w:t>Proposed dates</w:t>
            </w:r>
          </w:p>
        </w:tc>
        <w:tc>
          <w:tcPr>
            <w:tcW w:w="1523" w:type="dxa"/>
          </w:tcPr>
          <w:p w:rsidR="00A11A18" w:rsidRPr="00900FCB" w:rsidRDefault="00A11A18">
            <w:pPr>
              <w:rPr>
                <w:rFonts w:ascii="Arial" w:hAnsi="Arial" w:cs="Arial"/>
                <w:b/>
                <w:sz w:val="18"/>
                <w:szCs w:val="18"/>
              </w:rPr>
            </w:pPr>
            <w:r w:rsidRPr="00900FCB">
              <w:rPr>
                <w:rFonts w:ascii="Arial" w:hAnsi="Arial" w:cs="Arial"/>
                <w:b/>
                <w:sz w:val="18"/>
                <w:szCs w:val="18"/>
              </w:rPr>
              <w:t>No of facilitators and resources</w:t>
            </w:r>
          </w:p>
        </w:tc>
        <w:tc>
          <w:tcPr>
            <w:tcW w:w="4788" w:type="dxa"/>
            <w:vMerge w:val="restart"/>
          </w:tcPr>
          <w:p w:rsidR="00055227" w:rsidRDefault="00055227" w:rsidP="00055227">
            <w:pPr>
              <w:tabs>
                <w:tab w:val="left" w:pos="1701"/>
              </w:tabs>
              <w:ind w:left="285" w:hanging="285"/>
              <w:jc w:val="both"/>
              <w:rPr>
                <w:rFonts w:ascii="Arial" w:hAnsi="Arial" w:cs="Arial"/>
                <w:b/>
                <w:sz w:val="18"/>
                <w:szCs w:val="18"/>
              </w:rPr>
            </w:pPr>
            <w:r w:rsidRPr="00055227">
              <w:rPr>
                <w:rFonts w:ascii="Arial" w:hAnsi="Arial" w:cs="Arial"/>
                <w:sz w:val="18"/>
                <w:szCs w:val="18"/>
              </w:rPr>
              <w:t>1.</w:t>
            </w:r>
            <w:r>
              <w:rPr>
                <w:rFonts w:ascii="Arial" w:hAnsi="Arial" w:cs="Arial"/>
                <w:sz w:val="18"/>
                <w:szCs w:val="18"/>
              </w:rPr>
              <w:t xml:space="preserve">  </w:t>
            </w:r>
            <w:r w:rsidRPr="00055227">
              <w:rPr>
                <w:rFonts w:ascii="Arial" w:hAnsi="Arial" w:cs="Arial"/>
                <w:sz w:val="18"/>
                <w:szCs w:val="18"/>
              </w:rPr>
              <w:t>Lead the 3 (three) days’ National Management Forum in order to cascade the outcomes of the EXCO Leadership alignment Session for all SARS Group Executives,</w:t>
            </w:r>
            <w:r>
              <w:rPr>
                <w:rFonts w:ascii="Arial" w:hAnsi="Arial" w:cs="Arial"/>
                <w:sz w:val="18"/>
                <w:szCs w:val="18"/>
              </w:rPr>
              <w:t xml:space="preserve"> Executives and Senior Managers.</w:t>
            </w:r>
          </w:p>
          <w:p w:rsidR="00055227" w:rsidRDefault="00055227" w:rsidP="00055227">
            <w:pPr>
              <w:tabs>
                <w:tab w:val="left" w:pos="1701"/>
              </w:tabs>
              <w:ind w:left="285" w:hanging="285"/>
              <w:jc w:val="both"/>
              <w:rPr>
                <w:rFonts w:ascii="Arial" w:hAnsi="Arial" w:cs="Arial"/>
                <w:b/>
                <w:sz w:val="18"/>
                <w:szCs w:val="18"/>
              </w:rPr>
            </w:pPr>
            <w:r w:rsidRPr="00055227">
              <w:rPr>
                <w:rFonts w:ascii="Arial" w:hAnsi="Arial" w:cs="Arial"/>
                <w:sz w:val="18"/>
                <w:szCs w:val="18"/>
              </w:rPr>
              <w:t>2.</w:t>
            </w:r>
            <w:r>
              <w:rPr>
                <w:rFonts w:ascii="Arial" w:hAnsi="Arial" w:cs="Arial"/>
                <w:b/>
                <w:sz w:val="18"/>
                <w:szCs w:val="18"/>
              </w:rPr>
              <w:t xml:space="preserve"> </w:t>
            </w:r>
            <w:r w:rsidRPr="00055227">
              <w:rPr>
                <w:rFonts w:ascii="Arial" w:hAnsi="Arial" w:cs="Arial"/>
                <w:sz w:val="18"/>
                <w:szCs w:val="18"/>
              </w:rPr>
              <w:t>Enable further understanding of the existing SARS strategic direction, mandate and vision</w:t>
            </w:r>
            <w:r>
              <w:rPr>
                <w:rFonts w:ascii="Arial" w:hAnsi="Arial" w:cs="Arial"/>
                <w:sz w:val="18"/>
                <w:szCs w:val="18"/>
              </w:rPr>
              <w:t>.</w:t>
            </w:r>
            <w:r w:rsidRPr="00055227">
              <w:rPr>
                <w:rFonts w:ascii="Arial" w:hAnsi="Arial" w:cs="Arial"/>
                <w:sz w:val="18"/>
                <w:szCs w:val="18"/>
              </w:rPr>
              <w:t xml:space="preserve"> </w:t>
            </w:r>
          </w:p>
          <w:p w:rsidR="00055227" w:rsidRPr="00055227" w:rsidRDefault="00055227" w:rsidP="00055227">
            <w:pPr>
              <w:tabs>
                <w:tab w:val="left" w:pos="1701"/>
              </w:tabs>
              <w:ind w:left="285" w:hanging="285"/>
              <w:jc w:val="both"/>
              <w:rPr>
                <w:rFonts w:ascii="Arial" w:hAnsi="Arial" w:cs="Arial"/>
                <w:b/>
                <w:sz w:val="18"/>
                <w:szCs w:val="18"/>
              </w:rPr>
            </w:pPr>
            <w:r w:rsidRPr="00055227">
              <w:rPr>
                <w:rFonts w:ascii="Arial" w:hAnsi="Arial" w:cs="Arial"/>
                <w:sz w:val="18"/>
                <w:szCs w:val="18"/>
              </w:rPr>
              <w:t>3.</w:t>
            </w:r>
            <w:r>
              <w:rPr>
                <w:rFonts w:ascii="Arial" w:hAnsi="Arial" w:cs="Arial"/>
                <w:b/>
                <w:sz w:val="18"/>
                <w:szCs w:val="18"/>
              </w:rPr>
              <w:t xml:space="preserve"> </w:t>
            </w:r>
            <w:r w:rsidRPr="00055227">
              <w:rPr>
                <w:rFonts w:ascii="Arial" w:hAnsi="Arial" w:cs="Arial"/>
                <w:sz w:val="18"/>
                <w:szCs w:val="18"/>
              </w:rPr>
              <w:t>Cascade pertinent culture change elements as per the outcomes of the N-2 Heads leadership engagement sessions</w:t>
            </w:r>
            <w:r>
              <w:rPr>
                <w:rFonts w:ascii="Arial" w:hAnsi="Arial" w:cs="Arial"/>
                <w:sz w:val="18"/>
                <w:szCs w:val="18"/>
              </w:rPr>
              <w:t>.</w:t>
            </w:r>
          </w:p>
          <w:p w:rsidR="00055227" w:rsidRPr="00055227" w:rsidRDefault="00055227" w:rsidP="00055227">
            <w:pPr>
              <w:pStyle w:val="ListParagraph"/>
              <w:numPr>
                <w:ilvl w:val="0"/>
                <w:numId w:val="4"/>
              </w:numPr>
              <w:tabs>
                <w:tab w:val="left" w:pos="1701"/>
              </w:tabs>
              <w:ind w:left="285" w:hanging="283"/>
              <w:jc w:val="both"/>
              <w:rPr>
                <w:rFonts w:ascii="Arial" w:hAnsi="Arial" w:cs="Arial"/>
                <w:b/>
                <w:sz w:val="18"/>
                <w:szCs w:val="18"/>
              </w:rPr>
            </w:pPr>
            <w:r w:rsidRPr="00055227">
              <w:rPr>
                <w:rFonts w:ascii="Arial" w:hAnsi="Arial" w:cs="Arial"/>
                <w:sz w:val="18"/>
                <w:szCs w:val="18"/>
              </w:rPr>
              <w:t>Guide SARS leadership on principles of ensuring proper transformation results delivery and provide a better understanding of the leadership in embedding culture change and new ways of work</w:t>
            </w:r>
            <w:r>
              <w:rPr>
                <w:rFonts w:ascii="Arial" w:hAnsi="Arial" w:cs="Arial"/>
                <w:sz w:val="18"/>
                <w:szCs w:val="18"/>
              </w:rPr>
              <w:t>.</w:t>
            </w:r>
            <w:r w:rsidRPr="00055227">
              <w:rPr>
                <w:rFonts w:ascii="Arial" w:hAnsi="Arial" w:cs="Arial"/>
                <w:sz w:val="18"/>
                <w:szCs w:val="18"/>
              </w:rPr>
              <w:t xml:space="preserve"> </w:t>
            </w:r>
          </w:p>
          <w:p w:rsidR="00055227" w:rsidRPr="00055227" w:rsidRDefault="00055227" w:rsidP="00055227">
            <w:pPr>
              <w:pStyle w:val="ListParagraph"/>
              <w:numPr>
                <w:ilvl w:val="0"/>
                <w:numId w:val="4"/>
              </w:numPr>
              <w:tabs>
                <w:tab w:val="left" w:pos="1701"/>
              </w:tabs>
              <w:ind w:left="285" w:hanging="283"/>
              <w:jc w:val="both"/>
              <w:rPr>
                <w:rFonts w:ascii="Arial" w:hAnsi="Arial" w:cs="Arial"/>
                <w:b/>
                <w:sz w:val="18"/>
                <w:szCs w:val="18"/>
              </w:rPr>
            </w:pPr>
            <w:r w:rsidRPr="00055227">
              <w:rPr>
                <w:rFonts w:ascii="Arial" w:hAnsi="Arial" w:cs="Arial"/>
                <w:sz w:val="18"/>
                <w:szCs w:val="18"/>
              </w:rPr>
              <w:t xml:space="preserve">Facilitate deliberations resulting in the SARS Leadership understanding </w:t>
            </w:r>
            <w:proofErr w:type="gramStart"/>
            <w:r w:rsidRPr="00055227">
              <w:rPr>
                <w:rFonts w:ascii="Arial" w:hAnsi="Arial" w:cs="Arial"/>
                <w:sz w:val="18"/>
                <w:szCs w:val="18"/>
              </w:rPr>
              <w:t>of  Stakeholder</w:t>
            </w:r>
            <w:proofErr w:type="gramEnd"/>
            <w:r w:rsidRPr="00055227">
              <w:rPr>
                <w:rFonts w:ascii="Arial" w:hAnsi="Arial" w:cs="Arial"/>
                <w:sz w:val="18"/>
                <w:szCs w:val="18"/>
              </w:rPr>
              <w:t xml:space="preserve"> expectations; governance and service levels that are critical for optimal organisational reputation management</w:t>
            </w:r>
            <w:r>
              <w:rPr>
                <w:rFonts w:ascii="Arial" w:hAnsi="Arial" w:cs="Arial"/>
                <w:sz w:val="18"/>
                <w:szCs w:val="18"/>
              </w:rPr>
              <w:t>.</w:t>
            </w:r>
          </w:p>
          <w:p w:rsidR="00055227" w:rsidRPr="00055227" w:rsidRDefault="00055227" w:rsidP="00055227">
            <w:pPr>
              <w:pStyle w:val="ListParagraph"/>
              <w:numPr>
                <w:ilvl w:val="0"/>
                <w:numId w:val="4"/>
              </w:numPr>
              <w:tabs>
                <w:tab w:val="left" w:pos="1701"/>
              </w:tabs>
              <w:ind w:left="285" w:hanging="283"/>
              <w:jc w:val="both"/>
              <w:rPr>
                <w:rFonts w:ascii="Arial" w:hAnsi="Arial" w:cs="Arial"/>
                <w:b/>
                <w:sz w:val="18"/>
                <w:szCs w:val="18"/>
              </w:rPr>
            </w:pPr>
            <w:r w:rsidRPr="00055227">
              <w:rPr>
                <w:rFonts w:ascii="Arial" w:hAnsi="Arial" w:cs="Arial"/>
                <w:sz w:val="18"/>
                <w:szCs w:val="18"/>
              </w:rPr>
              <w:t xml:space="preserve">Create a platform for SARS leadership to understand their role and take ownership of the way forward and in driving organisational change through visible sponsorship and ownership of </w:t>
            </w:r>
            <w:proofErr w:type="gramStart"/>
            <w:r w:rsidRPr="00055227">
              <w:rPr>
                <w:rFonts w:ascii="Arial" w:hAnsi="Arial" w:cs="Arial"/>
                <w:sz w:val="18"/>
                <w:szCs w:val="18"/>
              </w:rPr>
              <w:t>the  cascading</w:t>
            </w:r>
            <w:proofErr w:type="gramEnd"/>
            <w:r w:rsidRPr="00055227">
              <w:rPr>
                <w:rFonts w:ascii="Arial" w:hAnsi="Arial" w:cs="Arial"/>
                <w:sz w:val="18"/>
                <w:szCs w:val="18"/>
              </w:rPr>
              <w:t xml:space="preserve"> process and</w:t>
            </w:r>
            <w:r>
              <w:rPr>
                <w:rFonts w:ascii="Arial" w:hAnsi="Arial" w:cs="Arial"/>
                <w:sz w:val="18"/>
                <w:szCs w:val="18"/>
              </w:rPr>
              <w:t xml:space="preserve"> to driving compliance thereof.</w:t>
            </w:r>
          </w:p>
          <w:p w:rsidR="00055227" w:rsidRPr="00055227" w:rsidRDefault="00055227" w:rsidP="00055227">
            <w:pPr>
              <w:pStyle w:val="ListParagraph"/>
              <w:numPr>
                <w:ilvl w:val="0"/>
                <w:numId w:val="4"/>
              </w:numPr>
              <w:tabs>
                <w:tab w:val="left" w:pos="1701"/>
              </w:tabs>
              <w:ind w:left="285" w:hanging="283"/>
              <w:jc w:val="both"/>
              <w:rPr>
                <w:rFonts w:ascii="Arial" w:hAnsi="Arial" w:cs="Arial"/>
                <w:b/>
                <w:sz w:val="18"/>
                <w:szCs w:val="18"/>
              </w:rPr>
            </w:pPr>
            <w:r w:rsidRPr="00055227">
              <w:rPr>
                <w:rFonts w:ascii="Arial" w:hAnsi="Arial" w:cs="Arial"/>
                <w:sz w:val="18"/>
                <w:szCs w:val="18"/>
              </w:rPr>
              <w:t>Enable SARS Leadership strategic alignment and commitment on the journey and actions required to optimally transition into the future-state and optimall</w:t>
            </w:r>
            <w:r>
              <w:rPr>
                <w:rFonts w:ascii="Arial" w:hAnsi="Arial" w:cs="Arial"/>
                <w:sz w:val="18"/>
                <w:szCs w:val="18"/>
              </w:rPr>
              <w:t>y deliver on set objectives.</w:t>
            </w:r>
          </w:p>
          <w:p w:rsidR="00A11A18" w:rsidRPr="00055227" w:rsidRDefault="00055227" w:rsidP="00055227">
            <w:pPr>
              <w:pStyle w:val="ListParagraph"/>
              <w:numPr>
                <w:ilvl w:val="0"/>
                <w:numId w:val="4"/>
              </w:numPr>
              <w:ind w:left="285" w:hanging="283"/>
              <w:jc w:val="both"/>
              <w:rPr>
                <w:rFonts w:ascii="Arial" w:hAnsi="Arial" w:cs="Arial"/>
                <w:b/>
              </w:rPr>
            </w:pPr>
            <w:r w:rsidRPr="00055227">
              <w:rPr>
                <w:rFonts w:ascii="Arial" w:hAnsi="Arial" w:cs="Arial"/>
                <w:sz w:val="18"/>
                <w:szCs w:val="18"/>
              </w:rPr>
              <w:t>Enable ownership of the cascading process to their teams and entrench correct behaviours required to enable the SARS Culture Transformation programme.</w:t>
            </w:r>
          </w:p>
        </w:tc>
        <w:tc>
          <w:tcPr>
            <w:tcW w:w="2300" w:type="dxa"/>
            <w:vMerge w:val="restart"/>
          </w:tcPr>
          <w:p w:rsidR="00A11A18" w:rsidRDefault="005B132E">
            <w:pPr>
              <w:rPr>
                <w:rFonts w:ascii="Arial" w:hAnsi="Arial" w:cs="Arial"/>
                <w:b/>
                <w:sz w:val="18"/>
                <w:szCs w:val="18"/>
              </w:rPr>
            </w:pPr>
            <w:r w:rsidRPr="005B132E">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Default="005B132E">
            <w:pPr>
              <w:rPr>
                <w:rFonts w:ascii="Arial" w:hAnsi="Arial" w:cs="Arial"/>
                <w:b/>
                <w:sz w:val="18"/>
                <w:szCs w:val="18"/>
              </w:rPr>
            </w:pPr>
            <w:r>
              <w:rPr>
                <w:rFonts w:ascii="Arial" w:hAnsi="Arial" w:cs="Arial"/>
                <w:b/>
                <w:sz w:val="18"/>
                <w:szCs w:val="18"/>
              </w:rPr>
              <w:t>5%</w:t>
            </w:r>
          </w:p>
          <w:p w:rsidR="005B132E" w:rsidRDefault="005B132E">
            <w:pPr>
              <w:rPr>
                <w:rFonts w:ascii="Arial" w:hAnsi="Arial" w:cs="Arial"/>
                <w:b/>
                <w:sz w:val="18"/>
                <w:szCs w:val="18"/>
              </w:rPr>
            </w:pPr>
          </w:p>
          <w:p w:rsidR="005B132E" w:rsidRDefault="005B132E">
            <w:pPr>
              <w:rPr>
                <w:rFonts w:ascii="Arial" w:hAnsi="Arial" w:cs="Arial"/>
                <w:b/>
                <w:sz w:val="18"/>
                <w:szCs w:val="18"/>
              </w:rPr>
            </w:pPr>
          </w:p>
          <w:p w:rsidR="005B132E" w:rsidRPr="005B132E" w:rsidRDefault="005B132E">
            <w:pPr>
              <w:rPr>
                <w:rFonts w:ascii="Arial" w:hAnsi="Arial" w:cs="Arial"/>
                <w:b/>
                <w:sz w:val="18"/>
                <w:szCs w:val="18"/>
              </w:rPr>
            </w:pPr>
          </w:p>
        </w:tc>
      </w:tr>
      <w:tr w:rsidR="00A11A18" w:rsidTr="00750F8E">
        <w:trPr>
          <w:trHeight w:val="504"/>
        </w:trPr>
        <w:tc>
          <w:tcPr>
            <w:tcW w:w="2518" w:type="dxa"/>
            <w:vMerge/>
          </w:tcPr>
          <w:p w:rsidR="00A11A18" w:rsidRDefault="00A11A18">
            <w:pPr>
              <w:rPr>
                <w:rFonts w:ascii="Arial" w:hAnsi="Arial" w:cs="Arial"/>
                <w:b/>
              </w:rPr>
            </w:pPr>
          </w:p>
        </w:tc>
        <w:tc>
          <w:tcPr>
            <w:tcW w:w="1522" w:type="dxa"/>
          </w:tcPr>
          <w:p w:rsidR="00A11A18" w:rsidRPr="00A11A18" w:rsidRDefault="00900FCB" w:rsidP="00900FCB">
            <w:pPr>
              <w:jc w:val="center"/>
              <w:rPr>
                <w:rFonts w:ascii="Arial" w:hAnsi="Arial" w:cs="Arial"/>
                <w:b/>
                <w:sz w:val="18"/>
                <w:szCs w:val="18"/>
              </w:rPr>
            </w:pPr>
            <w:r>
              <w:rPr>
                <w:rFonts w:ascii="Arial" w:hAnsi="Arial" w:cs="Arial"/>
                <w:b/>
                <w:sz w:val="18"/>
                <w:szCs w:val="18"/>
              </w:rPr>
              <w:t>4</w:t>
            </w:r>
          </w:p>
        </w:tc>
        <w:tc>
          <w:tcPr>
            <w:tcW w:w="1523" w:type="dxa"/>
          </w:tcPr>
          <w:p w:rsidR="00900FCB" w:rsidRDefault="00900FCB" w:rsidP="00900FCB">
            <w:pPr>
              <w:pStyle w:val="ListParagraph"/>
              <w:numPr>
                <w:ilvl w:val="0"/>
                <w:numId w:val="1"/>
              </w:numPr>
              <w:ind w:left="213" w:hanging="213"/>
              <w:rPr>
                <w:rFonts w:ascii="Arial" w:hAnsi="Arial" w:cs="Arial"/>
                <w:b/>
                <w:sz w:val="18"/>
                <w:szCs w:val="18"/>
              </w:rPr>
            </w:pPr>
            <w:r w:rsidRPr="00900FCB">
              <w:rPr>
                <w:rFonts w:ascii="Arial" w:hAnsi="Arial" w:cs="Arial"/>
                <w:b/>
                <w:sz w:val="18"/>
                <w:szCs w:val="18"/>
              </w:rPr>
              <w:t>Nov – Dec 2018</w:t>
            </w:r>
          </w:p>
          <w:p w:rsid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Apr – June 2019</w:t>
            </w:r>
          </w:p>
          <w:p w:rsid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Oct – Dec 2019</w:t>
            </w:r>
          </w:p>
          <w:p w:rsidR="00900FCB" w:rsidRPr="00900FCB" w:rsidRDefault="00900FCB" w:rsidP="00900FCB">
            <w:pPr>
              <w:pStyle w:val="ListParagraph"/>
              <w:numPr>
                <w:ilvl w:val="0"/>
                <w:numId w:val="1"/>
              </w:numPr>
              <w:ind w:left="213" w:hanging="213"/>
              <w:rPr>
                <w:rFonts w:ascii="Arial" w:hAnsi="Arial" w:cs="Arial"/>
                <w:b/>
                <w:sz w:val="18"/>
                <w:szCs w:val="18"/>
              </w:rPr>
            </w:pPr>
            <w:r>
              <w:rPr>
                <w:rFonts w:ascii="Arial" w:hAnsi="Arial" w:cs="Arial"/>
                <w:b/>
                <w:sz w:val="18"/>
                <w:szCs w:val="18"/>
              </w:rPr>
              <w:t>Apr – June 2020</w:t>
            </w:r>
          </w:p>
          <w:p w:rsidR="00A11A18" w:rsidRPr="00A11A18" w:rsidRDefault="00A11A18">
            <w:pPr>
              <w:rPr>
                <w:rFonts w:ascii="Arial" w:hAnsi="Arial" w:cs="Arial"/>
                <w:b/>
                <w:sz w:val="18"/>
                <w:szCs w:val="18"/>
              </w:rPr>
            </w:pPr>
          </w:p>
        </w:tc>
        <w:tc>
          <w:tcPr>
            <w:tcW w:w="1523" w:type="dxa"/>
          </w:tcPr>
          <w:p w:rsidR="00900FCB" w:rsidRDefault="00900FCB" w:rsidP="00900FCB">
            <w:pPr>
              <w:rPr>
                <w:rFonts w:ascii="Arial" w:hAnsi="Arial" w:cs="Arial"/>
                <w:b/>
                <w:sz w:val="18"/>
                <w:szCs w:val="18"/>
              </w:rPr>
            </w:pPr>
            <w:r>
              <w:rPr>
                <w:rFonts w:ascii="Arial" w:hAnsi="Arial" w:cs="Arial"/>
                <w:b/>
                <w:sz w:val="18"/>
                <w:szCs w:val="18"/>
              </w:rPr>
              <w:t>4</w:t>
            </w:r>
            <w:r>
              <w:rPr>
                <w:rFonts w:ascii="Arial" w:hAnsi="Arial" w:cs="Arial"/>
                <w:b/>
                <w:sz w:val="18"/>
                <w:szCs w:val="18"/>
              </w:rPr>
              <w:t xml:space="preserve"> Facilitators</w:t>
            </w:r>
          </w:p>
          <w:p w:rsidR="00900FCB" w:rsidRDefault="00900FCB" w:rsidP="00900FCB">
            <w:pPr>
              <w:rPr>
                <w:rFonts w:ascii="Arial" w:hAnsi="Arial" w:cs="Arial"/>
                <w:b/>
                <w:sz w:val="18"/>
                <w:szCs w:val="18"/>
              </w:rPr>
            </w:pPr>
          </w:p>
          <w:p w:rsidR="00A11A18" w:rsidRPr="00A11A18" w:rsidRDefault="00900FCB" w:rsidP="00900FCB">
            <w:pPr>
              <w:rPr>
                <w:rFonts w:ascii="Arial" w:hAnsi="Arial" w:cs="Arial"/>
                <w:b/>
                <w:sz w:val="18"/>
                <w:szCs w:val="18"/>
              </w:rPr>
            </w:pPr>
            <w:r>
              <w:rPr>
                <w:rFonts w:ascii="Arial" w:hAnsi="Arial" w:cs="Arial"/>
                <w:b/>
                <w:sz w:val="18"/>
                <w:szCs w:val="18"/>
              </w:rPr>
              <w:t>2 Resources</w:t>
            </w:r>
          </w:p>
        </w:tc>
        <w:tc>
          <w:tcPr>
            <w:tcW w:w="4788" w:type="dxa"/>
            <w:vMerge/>
          </w:tcPr>
          <w:p w:rsidR="00A11A18" w:rsidRDefault="00A11A18">
            <w:pPr>
              <w:rPr>
                <w:rFonts w:ascii="Arial" w:hAnsi="Arial" w:cs="Arial"/>
                <w:b/>
              </w:rPr>
            </w:pPr>
          </w:p>
        </w:tc>
        <w:tc>
          <w:tcPr>
            <w:tcW w:w="2300" w:type="dxa"/>
            <w:vMerge/>
          </w:tcPr>
          <w:p w:rsidR="00A11A18" w:rsidRDefault="00A11A18">
            <w:pPr>
              <w:rPr>
                <w:rFonts w:ascii="Arial" w:hAnsi="Arial" w:cs="Arial"/>
                <w:b/>
              </w:rPr>
            </w:pPr>
          </w:p>
        </w:tc>
      </w:tr>
    </w:tbl>
    <w:p w:rsidR="00D36843" w:rsidRPr="00D36843" w:rsidRDefault="00D36843">
      <w:pPr>
        <w:rPr>
          <w:rFonts w:ascii="Arial" w:hAnsi="Arial" w:cs="Arial"/>
          <w:b/>
        </w:rPr>
      </w:pPr>
    </w:p>
    <w:sectPr w:rsidR="00D36843" w:rsidRPr="00D36843" w:rsidSect="00D36843">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él  Burroughs" w:date="2018-08-22T12:47:00Z" w:initials="AB">
    <w:p w:rsidR="00D91AE5" w:rsidRDefault="00D91AE5">
      <w:pPr>
        <w:pStyle w:val="CommentText"/>
      </w:pPr>
      <w:r>
        <w:rPr>
          <w:rStyle w:val="CommentReference"/>
        </w:rPr>
        <w:annotationRef/>
      </w:r>
      <w:r w:rsidR="003851B9" w:rsidRPr="003851B9">
        <w:rPr>
          <w:rFonts w:cs="Arial"/>
          <w:sz w:val="22"/>
          <w:szCs w:val="22"/>
          <w:lang w:eastAsia="en-ZA"/>
        </w:rPr>
        <w:t>A</w:t>
      </w:r>
      <w:r w:rsidR="003851B9" w:rsidRPr="003851B9">
        <w:rPr>
          <w:rFonts w:cs="Arial"/>
          <w:bCs/>
          <w:sz w:val="22"/>
          <w:szCs w:val="22"/>
        </w:rPr>
        <w:t xml:space="preserve"> Service Credit is a late or improper performance </w:t>
      </w:r>
      <w:proofErr w:type="gramStart"/>
      <w:r w:rsidR="003851B9" w:rsidRPr="003851B9">
        <w:rPr>
          <w:rFonts w:cs="Arial"/>
          <w:bCs/>
          <w:sz w:val="22"/>
          <w:szCs w:val="22"/>
        </w:rPr>
        <w:t>fee</w:t>
      </w:r>
      <w:r w:rsidR="003851B9" w:rsidRPr="003851B9">
        <w:t xml:space="preserve">  expressed</w:t>
      </w:r>
      <w:proofErr w:type="gramEnd"/>
      <w:r w:rsidR="003851B9" w:rsidRPr="003851B9">
        <w:t xml:space="preserve"> as a percentage of an invoice.  </w:t>
      </w:r>
      <w:r w:rsidR="003851B9" w:rsidRPr="003851B9">
        <w:t>For each Service Level Failure</w:t>
      </w:r>
      <w:r w:rsidR="003851B9" w:rsidRPr="003851B9">
        <w:t xml:space="preserve"> of a Deliverable</w:t>
      </w:r>
      <w:r w:rsidR="003851B9" w:rsidRPr="003851B9">
        <w:t xml:space="preserve">, the Service Provider shall award to SARS </w:t>
      </w:r>
      <w:r w:rsidR="003851B9" w:rsidRPr="003851B9">
        <w:t>a</w:t>
      </w:r>
      <w:r w:rsidR="003851B9" w:rsidRPr="003851B9">
        <w:t xml:space="preserve"> Service Credit/s</w:t>
      </w:r>
      <w:r w:rsidR="003851B9">
        <w:t>. The total percentage of S</w:t>
      </w:r>
      <w:r w:rsidR="00FB7439">
        <w:t>ervice Credits per invoice may not exceed 20% (See definition of “Amount at Risk” in the agreement.</w:t>
      </w:r>
      <w:bookmarkStart w:id="1" w:name="_GoBack"/>
      <w:bookmarkEnd w:id="1"/>
      <w:r w:rsidR="003851B9">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519A"/>
    <w:multiLevelType w:val="multilevel"/>
    <w:tmpl w:val="16F0613E"/>
    <w:lvl w:ilvl="0">
      <w:start w:val="1"/>
      <w:numFmt w:val="decimal"/>
      <w:lvlText w:val="%1."/>
      <w:lvlJc w:val="left"/>
      <w:pPr>
        <w:ind w:left="720" w:hanging="360"/>
      </w:pPr>
      <w:rPr>
        <w:rFonts w:hint="default"/>
        <w:b w:val="0"/>
      </w:rPr>
    </w:lvl>
    <w:lvl w:ilvl="1">
      <w:start w:val="1"/>
      <w:numFmt w:val="decimal"/>
      <w:isLgl/>
      <w:lvlText w:val="%2."/>
      <w:lvlJc w:val="left"/>
      <w:pPr>
        <w:ind w:left="720" w:hanging="360"/>
      </w:pPr>
      <w:rPr>
        <w:rFonts w:ascii="Arial" w:eastAsiaTheme="minorHAnsi" w:hAnsi="Arial" w:cs="Arial"/>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nsid w:val="35B92AF4"/>
    <w:multiLevelType w:val="hybridMultilevel"/>
    <w:tmpl w:val="DFA8C080"/>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
    <w:nsid w:val="4C5A5464"/>
    <w:multiLevelType w:val="hybridMultilevel"/>
    <w:tmpl w:val="1E4E2040"/>
    <w:lvl w:ilvl="0" w:tplc="78AA9E96">
      <w:start w:val="1"/>
      <w:numFmt w:val="decimal"/>
      <w:lvlText w:val="%1."/>
      <w:lvlJc w:val="left"/>
      <w:pPr>
        <w:ind w:left="720" w:hanging="360"/>
      </w:pPr>
      <w:rPr>
        <w:rFonts w:hint="default"/>
        <w:b w:val="0"/>
        <w:sz w:val="18"/>
        <w:szCs w:val="18"/>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6D691A79"/>
    <w:multiLevelType w:val="hybridMultilevel"/>
    <w:tmpl w:val="DCF085B4"/>
    <w:lvl w:ilvl="0" w:tplc="3D3EF650">
      <w:numFmt w:val="bullet"/>
      <w:lvlText w:val=""/>
      <w:lvlJc w:val="left"/>
      <w:pPr>
        <w:ind w:left="720" w:hanging="360"/>
      </w:pPr>
      <w:rPr>
        <w:rFonts w:ascii="Symbol" w:eastAsiaTheme="minorHAnsi"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43"/>
    <w:rsid w:val="00055227"/>
    <w:rsid w:val="00084D9A"/>
    <w:rsid w:val="003851B9"/>
    <w:rsid w:val="004D46FD"/>
    <w:rsid w:val="00594A2F"/>
    <w:rsid w:val="005B132E"/>
    <w:rsid w:val="0069045A"/>
    <w:rsid w:val="00900FCB"/>
    <w:rsid w:val="00A11A18"/>
    <w:rsid w:val="00AD710A"/>
    <w:rsid w:val="00D36843"/>
    <w:rsid w:val="00D91AE5"/>
    <w:rsid w:val="00FB74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1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
    <w:basedOn w:val="Normal"/>
    <w:link w:val="ListParagraphChar"/>
    <w:uiPriority w:val="34"/>
    <w:qFormat/>
    <w:rsid w:val="00900FCB"/>
    <w:pPr>
      <w:ind w:left="720"/>
      <w:contextualSpacing/>
    </w:pPr>
  </w:style>
  <w:style w:type="character" w:customStyle="1" w:styleId="ListParagraphChar">
    <w:name w:val="List Paragraph Char"/>
    <w:aliases w:val="Heading 100 Char,Body List Bullets Char"/>
    <w:link w:val="ListParagraph"/>
    <w:uiPriority w:val="99"/>
    <w:locked/>
    <w:rsid w:val="00AD710A"/>
  </w:style>
  <w:style w:type="character" w:styleId="CommentReference">
    <w:name w:val="annotation reference"/>
    <w:basedOn w:val="DefaultParagraphFont"/>
    <w:uiPriority w:val="99"/>
    <w:semiHidden/>
    <w:unhideWhenUsed/>
    <w:rsid w:val="00D91AE5"/>
    <w:rPr>
      <w:sz w:val="16"/>
      <w:szCs w:val="16"/>
    </w:rPr>
  </w:style>
  <w:style w:type="paragraph" w:styleId="CommentText">
    <w:name w:val="annotation text"/>
    <w:basedOn w:val="Normal"/>
    <w:link w:val="CommentTextChar"/>
    <w:uiPriority w:val="99"/>
    <w:semiHidden/>
    <w:unhideWhenUsed/>
    <w:rsid w:val="00D91AE5"/>
    <w:pPr>
      <w:spacing w:line="240" w:lineRule="auto"/>
    </w:pPr>
    <w:rPr>
      <w:sz w:val="20"/>
      <w:szCs w:val="20"/>
    </w:rPr>
  </w:style>
  <w:style w:type="character" w:customStyle="1" w:styleId="CommentTextChar">
    <w:name w:val="Comment Text Char"/>
    <w:basedOn w:val="DefaultParagraphFont"/>
    <w:link w:val="CommentText"/>
    <w:uiPriority w:val="99"/>
    <w:semiHidden/>
    <w:rsid w:val="00D91AE5"/>
    <w:rPr>
      <w:sz w:val="20"/>
      <w:szCs w:val="20"/>
    </w:rPr>
  </w:style>
  <w:style w:type="paragraph" w:styleId="CommentSubject">
    <w:name w:val="annotation subject"/>
    <w:basedOn w:val="CommentText"/>
    <w:next w:val="CommentText"/>
    <w:link w:val="CommentSubjectChar"/>
    <w:uiPriority w:val="99"/>
    <w:semiHidden/>
    <w:unhideWhenUsed/>
    <w:rsid w:val="00D91AE5"/>
    <w:rPr>
      <w:b/>
      <w:bCs/>
    </w:rPr>
  </w:style>
  <w:style w:type="character" w:customStyle="1" w:styleId="CommentSubjectChar">
    <w:name w:val="Comment Subject Char"/>
    <w:basedOn w:val="CommentTextChar"/>
    <w:link w:val="CommentSubject"/>
    <w:uiPriority w:val="99"/>
    <w:semiHidden/>
    <w:rsid w:val="00D91AE5"/>
    <w:rPr>
      <w:b/>
      <w:bCs/>
      <w:sz w:val="20"/>
      <w:szCs w:val="20"/>
    </w:rPr>
  </w:style>
  <w:style w:type="paragraph" w:styleId="BalloonText">
    <w:name w:val="Balloon Text"/>
    <w:basedOn w:val="Normal"/>
    <w:link w:val="BalloonTextChar"/>
    <w:uiPriority w:val="99"/>
    <w:semiHidden/>
    <w:unhideWhenUsed/>
    <w:rsid w:val="00D91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A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1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
    <w:basedOn w:val="Normal"/>
    <w:link w:val="ListParagraphChar"/>
    <w:uiPriority w:val="34"/>
    <w:qFormat/>
    <w:rsid w:val="00900FCB"/>
    <w:pPr>
      <w:ind w:left="720"/>
      <w:contextualSpacing/>
    </w:pPr>
  </w:style>
  <w:style w:type="character" w:customStyle="1" w:styleId="ListParagraphChar">
    <w:name w:val="List Paragraph Char"/>
    <w:aliases w:val="Heading 100 Char,Body List Bullets Char"/>
    <w:link w:val="ListParagraph"/>
    <w:uiPriority w:val="99"/>
    <w:locked/>
    <w:rsid w:val="00AD710A"/>
  </w:style>
  <w:style w:type="character" w:styleId="CommentReference">
    <w:name w:val="annotation reference"/>
    <w:basedOn w:val="DefaultParagraphFont"/>
    <w:uiPriority w:val="99"/>
    <w:semiHidden/>
    <w:unhideWhenUsed/>
    <w:rsid w:val="00D91AE5"/>
    <w:rPr>
      <w:sz w:val="16"/>
      <w:szCs w:val="16"/>
    </w:rPr>
  </w:style>
  <w:style w:type="paragraph" w:styleId="CommentText">
    <w:name w:val="annotation text"/>
    <w:basedOn w:val="Normal"/>
    <w:link w:val="CommentTextChar"/>
    <w:uiPriority w:val="99"/>
    <w:semiHidden/>
    <w:unhideWhenUsed/>
    <w:rsid w:val="00D91AE5"/>
    <w:pPr>
      <w:spacing w:line="240" w:lineRule="auto"/>
    </w:pPr>
    <w:rPr>
      <w:sz w:val="20"/>
      <w:szCs w:val="20"/>
    </w:rPr>
  </w:style>
  <w:style w:type="character" w:customStyle="1" w:styleId="CommentTextChar">
    <w:name w:val="Comment Text Char"/>
    <w:basedOn w:val="DefaultParagraphFont"/>
    <w:link w:val="CommentText"/>
    <w:uiPriority w:val="99"/>
    <w:semiHidden/>
    <w:rsid w:val="00D91AE5"/>
    <w:rPr>
      <w:sz w:val="20"/>
      <w:szCs w:val="20"/>
    </w:rPr>
  </w:style>
  <w:style w:type="paragraph" w:styleId="CommentSubject">
    <w:name w:val="annotation subject"/>
    <w:basedOn w:val="CommentText"/>
    <w:next w:val="CommentText"/>
    <w:link w:val="CommentSubjectChar"/>
    <w:uiPriority w:val="99"/>
    <w:semiHidden/>
    <w:unhideWhenUsed/>
    <w:rsid w:val="00D91AE5"/>
    <w:rPr>
      <w:b/>
      <w:bCs/>
    </w:rPr>
  </w:style>
  <w:style w:type="character" w:customStyle="1" w:styleId="CommentSubjectChar">
    <w:name w:val="Comment Subject Char"/>
    <w:basedOn w:val="CommentTextChar"/>
    <w:link w:val="CommentSubject"/>
    <w:uiPriority w:val="99"/>
    <w:semiHidden/>
    <w:rsid w:val="00D91AE5"/>
    <w:rPr>
      <w:b/>
      <w:bCs/>
      <w:sz w:val="20"/>
      <w:szCs w:val="20"/>
    </w:rPr>
  </w:style>
  <w:style w:type="paragraph" w:styleId="BalloonText">
    <w:name w:val="Balloon Text"/>
    <w:basedOn w:val="Normal"/>
    <w:link w:val="BalloonTextChar"/>
    <w:uiPriority w:val="99"/>
    <w:semiHidden/>
    <w:unhideWhenUsed/>
    <w:rsid w:val="00D91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A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Anél  Burroughs</dc:creator>
  <cp:lastModifiedBy>Anél  Burroughs</cp:lastModifiedBy>
  <cp:revision>10</cp:revision>
  <dcterms:created xsi:type="dcterms:W3CDTF">2018-08-22T10:06:00Z</dcterms:created>
  <dcterms:modified xsi:type="dcterms:W3CDTF">2018-08-22T10:47:00Z</dcterms:modified>
</cp:coreProperties>
</file>