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739D4" w14:textId="3EA9FE33" w:rsidR="00DA5F6C" w:rsidRPr="003155BE" w:rsidRDefault="005270D2" w:rsidP="00307AD0">
      <w:pPr>
        <w:widowControl w:val="0"/>
        <w:tabs>
          <w:tab w:val="left" w:pos="0"/>
          <w:tab w:val="num" w:pos="567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276" w:lineRule="auto"/>
        <w:ind w:left="567" w:hanging="567"/>
        <w:jc w:val="both"/>
        <w:outlineLvl w:val="0"/>
        <w:rPr>
          <w:rFonts w:cs="Arial"/>
          <w:b/>
          <w:color w:val="000000"/>
          <w:kern w:val="28"/>
          <w:lang w:val="en-GB" w:eastAsia="en-US"/>
        </w:rPr>
      </w:pPr>
      <w:bookmarkStart w:id="0" w:name="_Toc303764023"/>
      <w:bookmarkStart w:id="1" w:name="_Toc306205447"/>
      <w:bookmarkStart w:id="2" w:name="_GoBack"/>
      <w:bookmarkEnd w:id="2"/>
      <w:r w:rsidRPr="003155BE">
        <w:rPr>
          <w:rFonts w:cs="Arial"/>
          <w:b/>
          <w:color w:val="000000"/>
          <w:kern w:val="28"/>
          <w:lang w:val="en-GB" w:eastAsia="en-US"/>
        </w:rPr>
        <w:t xml:space="preserve">GUIDELINE FOR THE </w:t>
      </w:r>
      <w:r w:rsidR="002C054B" w:rsidRPr="003155BE">
        <w:rPr>
          <w:rFonts w:cs="Arial"/>
          <w:b/>
          <w:color w:val="000000"/>
          <w:kern w:val="28"/>
          <w:lang w:val="en-GB" w:eastAsia="en-US"/>
        </w:rPr>
        <w:t xml:space="preserve">TECHNICAL EVALUATION </w:t>
      </w:r>
      <w:bookmarkEnd w:id="0"/>
      <w:bookmarkEnd w:id="1"/>
      <w:r w:rsidRPr="003155BE">
        <w:rPr>
          <w:rFonts w:cs="Arial"/>
          <w:b/>
          <w:color w:val="000000"/>
          <w:kern w:val="28"/>
          <w:lang w:val="en-GB" w:eastAsia="en-US"/>
        </w:rPr>
        <w:t>OF</w:t>
      </w:r>
      <w:r w:rsidR="0058485A" w:rsidRPr="003155BE">
        <w:rPr>
          <w:rFonts w:cs="Arial"/>
          <w:b/>
          <w:color w:val="000000"/>
          <w:kern w:val="28"/>
          <w:lang w:val="en-GB" w:eastAsia="en-US"/>
        </w:rPr>
        <w:t xml:space="preserve"> ARMED OFFICERS, </w:t>
      </w:r>
      <w:r w:rsidR="006C7A1F" w:rsidRPr="003155BE">
        <w:rPr>
          <w:rFonts w:cs="Arial"/>
          <w:b/>
          <w:color w:val="000000"/>
          <w:kern w:val="28"/>
          <w:lang w:val="en-GB" w:eastAsia="en-US"/>
        </w:rPr>
        <w:t>CLOSE</w:t>
      </w:r>
      <w:r w:rsidR="0058485A" w:rsidRPr="003155BE">
        <w:rPr>
          <w:rFonts w:cs="Arial"/>
          <w:b/>
          <w:color w:val="000000"/>
          <w:kern w:val="28"/>
          <w:lang w:val="en-GB" w:eastAsia="en-US"/>
        </w:rPr>
        <w:t xml:space="preserve"> PROTECTION AND TACTICAL RESPONSE SERVICE</w:t>
      </w:r>
      <w:r w:rsidR="002C054B" w:rsidRPr="003155BE">
        <w:rPr>
          <w:rFonts w:cs="Arial"/>
          <w:b/>
          <w:color w:val="000000"/>
          <w:kern w:val="28"/>
          <w:lang w:val="en-GB" w:eastAsia="en-US"/>
        </w:rPr>
        <w:t>S</w:t>
      </w:r>
    </w:p>
    <w:p w14:paraId="798264C9" w14:textId="1A89CEDC" w:rsidR="00DA5F6C" w:rsidRPr="00A470F8" w:rsidRDefault="00DA5F6C" w:rsidP="003155BE">
      <w:pPr>
        <w:widowControl w:val="0"/>
        <w:tabs>
          <w:tab w:val="left" w:pos="0"/>
          <w:tab w:val="num" w:pos="567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276" w:lineRule="auto"/>
        <w:ind w:left="567" w:hanging="567"/>
        <w:outlineLvl w:val="0"/>
        <w:rPr>
          <w:rFonts w:cs="Arial"/>
          <w:b/>
          <w:bCs/>
        </w:rPr>
      </w:pPr>
    </w:p>
    <w:tbl>
      <w:tblPr>
        <w:tblW w:w="15055" w:type="dxa"/>
        <w:tblInd w:w="-318" w:type="dxa"/>
        <w:tblLook w:val="04A0" w:firstRow="1" w:lastRow="0" w:firstColumn="1" w:lastColumn="0" w:noHBand="0" w:noVBand="1"/>
      </w:tblPr>
      <w:tblGrid>
        <w:gridCol w:w="1611"/>
        <w:gridCol w:w="6073"/>
        <w:gridCol w:w="950"/>
        <w:gridCol w:w="1885"/>
        <w:gridCol w:w="1560"/>
        <w:gridCol w:w="2976"/>
      </w:tblGrid>
      <w:tr w:rsidR="005270D2" w:rsidRPr="003155BE" w14:paraId="4DD84BFE" w14:textId="77777777" w:rsidTr="00307AD0">
        <w:trPr>
          <w:trHeight w:val="376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1A616D01" w14:textId="77777777" w:rsidR="005270D2" w:rsidRPr="003155BE" w:rsidRDefault="005270D2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3155BE">
              <w:rPr>
                <w:rFonts w:cs="Arial"/>
                <w:b/>
                <w:bCs/>
              </w:rPr>
              <w:t>No.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269F8E1D" w14:textId="77777777" w:rsidR="005270D2" w:rsidRPr="003155BE" w:rsidRDefault="005270D2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3155BE">
              <w:rPr>
                <w:rFonts w:cs="Arial"/>
                <w:b/>
                <w:bCs/>
              </w:rPr>
              <w:t>Description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521BC4B4" w14:textId="77777777" w:rsidR="005270D2" w:rsidRPr="003155BE" w:rsidRDefault="005270D2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3155BE">
              <w:rPr>
                <w:rFonts w:cs="Arial"/>
                <w:b/>
                <w:bCs/>
              </w:rPr>
              <w:t>Weight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14:paraId="0E5602E3" w14:textId="77777777" w:rsidR="005270D2" w:rsidRPr="003155BE" w:rsidRDefault="005270D2" w:rsidP="003155BE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</w:rPr>
            </w:pPr>
            <w:r w:rsidRPr="003155BE">
              <w:rPr>
                <w:rFonts w:cs="Arial"/>
                <w:b/>
                <w:bCs/>
              </w:rPr>
              <w:t xml:space="preserve">Measurement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14:paraId="14B97B9C" w14:textId="77777777" w:rsidR="005270D2" w:rsidRPr="003155BE" w:rsidRDefault="005270D2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3155BE">
              <w:rPr>
                <w:rFonts w:cs="Arial"/>
                <w:b/>
                <w:bCs/>
              </w:rPr>
              <w:t>Point Allocation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14:paraId="2AC7CB8B" w14:textId="77777777" w:rsidR="005270D2" w:rsidRPr="003155BE" w:rsidRDefault="005270D2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3155BE">
              <w:rPr>
                <w:rFonts w:cs="Arial"/>
                <w:b/>
                <w:bCs/>
              </w:rPr>
              <w:t>Proof Required</w:t>
            </w:r>
          </w:p>
        </w:tc>
      </w:tr>
      <w:tr w:rsidR="005270D2" w:rsidRPr="003155BE" w14:paraId="7D2F18AD" w14:textId="77777777" w:rsidTr="00307AD0">
        <w:trPr>
          <w:trHeight w:val="301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DE82776" w14:textId="77777777" w:rsidR="005270D2" w:rsidRPr="003155BE" w:rsidRDefault="005270D2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3155BE">
              <w:rPr>
                <w:rFonts w:cs="Arial"/>
                <w:b/>
                <w:bCs/>
                <w:color w:val="000000"/>
              </w:rPr>
              <w:t>1.0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E3ED20D" w14:textId="77777777" w:rsidR="005270D2" w:rsidRPr="003155BE" w:rsidRDefault="005270D2" w:rsidP="003155BE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  <w:r w:rsidRPr="003155BE">
              <w:rPr>
                <w:rFonts w:cs="Arial"/>
                <w:b/>
                <w:bCs/>
                <w:color w:val="000000"/>
              </w:rPr>
              <w:t>Experience in providing the Services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5B0D240C" w14:textId="77777777" w:rsidR="005270D2" w:rsidRPr="003155BE" w:rsidRDefault="005270D2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3155BE">
              <w:rPr>
                <w:rFonts w:cs="Arial"/>
                <w:b/>
                <w:bCs/>
                <w:color w:val="000000"/>
              </w:rPr>
              <w:t>10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2CCCB5" w14:textId="77777777" w:rsidR="005270D2" w:rsidRPr="003155BE" w:rsidRDefault="005270D2" w:rsidP="003155BE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B60842" w14:textId="77777777" w:rsidR="005270D2" w:rsidRPr="003155BE" w:rsidRDefault="005270D2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6790EA" w14:textId="77777777" w:rsidR="005270D2" w:rsidRPr="003155BE" w:rsidRDefault="005270D2" w:rsidP="00307AD0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</w:tr>
      <w:tr w:rsidR="003B5523" w:rsidRPr="003155BE" w14:paraId="2608DD94" w14:textId="77777777" w:rsidTr="00307AD0">
        <w:trPr>
          <w:trHeight w:val="1060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2A37B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60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63A6" w14:textId="63853919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Provide three (3) </w:t>
            </w:r>
            <w:r w:rsidRPr="00307AD0">
              <w:rPr>
                <w:rFonts w:cs="Arial"/>
                <w:color w:val="000000"/>
                <w:sz w:val="18"/>
                <w:szCs w:val="18"/>
              </w:rPr>
              <w:t>references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from business organisations (entities) that have used the Bidder to provide </w:t>
            </w:r>
            <w:r w:rsidRPr="003155BE">
              <w:rPr>
                <w:rFonts w:cs="Arial"/>
                <w:color w:val="000000"/>
                <w:kern w:val="28"/>
                <w:sz w:val="18"/>
                <w:szCs w:val="18"/>
                <w:lang w:val="en-GB" w:eastAsia="en-US"/>
              </w:rPr>
              <w:t xml:space="preserve">Armed Officers, Close Protection and Tactical Response Security Service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in the past three (3) years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including number of personnel, value and duration of the contract</w:t>
            </w:r>
            <w:r w:rsidR="00E117B1" w:rsidRPr="003155BE">
              <w:rPr>
                <w:rFonts w:cs="Arial"/>
                <w:color w:val="000000"/>
                <w:sz w:val="18"/>
                <w:szCs w:val="18"/>
              </w:rPr>
              <w:t>/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B975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CBBC1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Less than 3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 references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BDDDE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56BDCF7" w14:textId="3E6EBC40" w:rsidR="003B5523" w:rsidRPr="003155BE" w:rsidRDefault="00FF776F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Three (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>3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)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references from business organisation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 that have used the Bidder’s services in the past three (3) years that set out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the value of the contract per month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, number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of personnel employed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to render the services for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each contract and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the d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>uration of the contract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/s.</w:t>
            </w:r>
          </w:p>
        </w:tc>
      </w:tr>
      <w:tr w:rsidR="003B5523" w:rsidRPr="003155BE" w14:paraId="26826F0E" w14:textId="77777777" w:rsidTr="00307AD0">
        <w:trPr>
          <w:trHeight w:val="50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352E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0B50" w14:textId="77777777" w:rsidR="003B5523" w:rsidRPr="003155BE" w:rsidRDefault="003B5523" w:rsidP="003155BE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0E197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B3C7D" w14:textId="3938C75B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3 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or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more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 references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C7110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A2AA2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2727" w:rsidRPr="003155BE" w14:paraId="623F582D" w14:textId="77777777" w:rsidTr="00307AD0">
        <w:trPr>
          <w:trHeight w:val="301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4EB3CA2" w14:textId="77777777" w:rsidR="00252727" w:rsidRPr="003155BE" w:rsidRDefault="00252727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3155BE">
              <w:rPr>
                <w:rFonts w:cs="Arial"/>
                <w:b/>
                <w:bCs/>
                <w:color w:val="000000"/>
              </w:rPr>
              <w:t>2.0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81F6CD" w14:textId="5244BB4F" w:rsidR="00252727" w:rsidRPr="003155BE" w:rsidRDefault="00252727" w:rsidP="003155BE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  <w:r w:rsidRPr="003155BE">
              <w:rPr>
                <w:rFonts w:cs="Arial"/>
                <w:b/>
                <w:bCs/>
                <w:color w:val="000000"/>
              </w:rPr>
              <w:t xml:space="preserve">Infrastructure </w:t>
            </w:r>
            <w:r w:rsidR="00FF776F" w:rsidRPr="003155BE">
              <w:rPr>
                <w:rFonts w:cs="Arial"/>
                <w:b/>
                <w:bCs/>
                <w:color w:val="000000"/>
              </w:rPr>
              <w:t xml:space="preserve">and </w:t>
            </w:r>
            <w:r w:rsidRPr="003155BE">
              <w:rPr>
                <w:rFonts w:cs="Arial"/>
                <w:b/>
                <w:bCs/>
                <w:color w:val="000000"/>
              </w:rPr>
              <w:t>Capability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7E622AA" w14:textId="77777777" w:rsidR="00252727" w:rsidRPr="003155BE" w:rsidRDefault="00252727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3155BE">
              <w:rPr>
                <w:rFonts w:cs="Arial"/>
                <w:b/>
                <w:bCs/>
                <w:color w:val="000000"/>
              </w:rPr>
              <w:t>45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CCA7E8" w14:textId="77777777" w:rsidR="00252727" w:rsidRPr="003155BE" w:rsidRDefault="00252727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0522215" w14:textId="77777777" w:rsidR="00252727" w:rsidRPr="003155BE" w:rsidRDefault="00252727" w:rsidP="003155BE">
            <w:pPr>
              <w:widowControl w:val="0"/>
              <w:spacing w:line="276" w:lineRule="auto"/>
              <w:rPr>
                <w:rFonts w:cs="Arial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F25F4F" w14:textId="77777777" w:rsidR="00252727" w:rsidRPr="003155BE" w:rsidRDefault="00252727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3B5523" w:rsidRPr="003155BE" w14:paraId="3C5468B9" w14:textId="77777777" w:rsidTr="00307AD0">
        <w:trPr>
          <w:trHeight w:val="98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26A791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60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4072" w14:textId="73D553C1" w:rsidR="003B5523" w:rsidRPr="003155BE" w:rsidRDefault="00FF776F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B70119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must demonstrate that it has </w:t>
            </w:r>
            <w:r w:rsidR="002C054B" w:rsidRPr="003155BE">
              <w:rPr>
                <w:rFonts w:cs="Arial"/>
                <w:color w:val="000000"/>
                <w:sz w:val="18"/>
                <w:szCs w:val="18"/>
              </w:rPr>
              <w:t xml:space="preserve">presence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>in the region it intends to deliver the Services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4BE1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CB0E3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 office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>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36256" w:rsidRPr="003155BE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3E5929" w:rsidRPr="003155BE">
              <w:rPr>
                <w:rFonts w:cs="Arial"/>
              </w:rPr>
              <w:t xml:space="preserve"> 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tendered for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AA624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D449D54" w14:textId="59FB1231" w:rsidR="003B5523" w:rsidRPr="003155BE" w:rsidRDefault="00FD40E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Proof of ownership 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of the office building(s)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or 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rental agreement for the 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leasing of the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 and/or subcontractor’s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office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>(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s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>)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in the </w:t>
            </w:r>
            <w:r w:rsidR="002C054B" w:rsidRPr="003155BE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B5523" w:rsidRPr="003155BE" w14:paraId="75828BB3" w14:textId="77777777" w:rsidTr="00307AD0">
        <w:trPr>
          <w:trHeight w:val="98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4672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53099" w14:textId="77777777" w:rsidR="003B5523" w:rsidRPr="003155BE" w:rsidRDefault="003B5523" w:rsidP="003155BE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255C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43B12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1 or more offices</w:t>
            </w:r>
            <w:r w:rsidR="00336256" w:rsidRPr="003155BE">
              <w:rPr>
                <w:rFonts w:cs="Arial"/>
                <w:color w:val="000000"/>
                <w:sz w:val="18"/>
                <w:szCs w:val="18"/>
              </w:rPr>
              <w:t xml:space="preserve"> in the region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tendered for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B1D19" w14:textId="77777777" w:rsidR="003B5523" w:rsidRPr="003155BE" w:rsidRDefault="003B5523" w:rsidP="003155BE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80FCB" w14:textId="77777777" w:rsidR="003B5523" w:rsidRPr="003155BE" w:rsidRDefault="003B5523" w:rsidP="00013C7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B5523" w:rsidRPr="003155BE" w14:paraId="4C5858AE" w14:textId="77777777" w:rsidTr="00307AD0">
        <w:trPr>
          <w:trHeight w:val="172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3651A2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E67437" w14:textId="0FF5BE0A" w:rsidR="003B5523" w:rsidRPr="003155BE" w:rsidRDefault="00FF776F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 Bidder must indicate how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many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Armed Security Officers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are available for the execution of the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Services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 the region the </w:t>
            </w:r>
            <w:r w:rsidR="00B70119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intends to deliver the Services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53CF2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FD706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Less than 50 Armed Security Officers </w:t>
            </w:r>
            <w:r w:rsidR="00336256" w:rsidRPr="003155BE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8C31E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9229BF" w14:textId="010C6767" w:rsidR="003B5523" w:rsidRPr="003155BE" w:rsidRDefault="00FD40E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List of 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Armed Security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Officers registered under the Bidder </w:t>
            </w:r>
            <w:r w:rsidR="00FF776F" w:rsidRPr="003155BE">
              <w:rPr>
                <w:rFonts w:cs="Arial"/>
                <w:color w:val="000000"/>
                <w:sz w:val="18"/>
                <w:szCs w:val="18"/>
              </w:rPr>
              <w:t xml:space="preserve">and/or the subcontractor’s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name at PSIRA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in the </w:t>
            </w:r>
            <w:r w:rsidR="002C054B" w:rsidRPr="003155BE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  <w:r w:rsidR="00301598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B5523" w:rsidRPr="003155BE" w14:paraId="1D5F8919" w14:textId="77777777" w:rsidTr="00307AD0">
        <w:trPr>
          <w:trHeight w:val="240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F24F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BE82" w14:textId="77777777" w:rsidR="003B5523" w:rsidRPr="003155BE" w:rsidRDefault="003B5523" w:rsidP="003155BE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333CE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7309D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50 or more Armed Security Officers</w:t>
            </w:r>
            <w:r w:rsidR="00336256" w:rsidRPr="003155BE">
              <w:rPr>
                <w:rFonts w:cs="Arial"/>
                <w:color w:val="000000"/>
                <w:sz w:val="18"/>
                <w:szCs w:val="18"/>
              </w:rPr>
              <w:t xml:space="preserve"> in the region</w:t>
            </w:r>
            <w:r w:rsidR="003E5929" w:rsidRPr="003155BE">
              <w:rPr>
                <w:rFonts w:cs="Arial"/>
              </w:rPr>
              <w:t xml:space="preserve"> 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tendered for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0DB84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220C3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B5523" w:rsidRPr="003155BE" w14:paraId="2EC025E1" w14:textId="77777777" w:rsidTr="00307AD0">
        <w:trPr>
          <w:trHeight w:val="648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B36A8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0CBC2D" w14:textId="53E778D7" w:rsidR="003B5523" w:rsidRPr="003155BE" w:rsidRDefault="005E221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 Bidder must indicate how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many Close Protectors are available for the execution of the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Services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 the region the </w:t>
            </w:r>
            <w:r w:rsidR="00B70119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intends to deliver the Services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C89C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C06B4" w14:textId="7213A034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Less than 10 Close Protectors </w:t>
            </w:r>
            <w:r w:rsidR="00336256" w:rsidRPr="003155BE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9EEF2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860A5A8" w14:textId="1C3A4629" w:rsidR="003B5523" w:rsidRPr="003155BE" w:rsidRDefault="00FD40E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List of Close Protectors registered under the Bidder 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 xml:space="preserve">and/or the subcontractor’s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name at PSIRA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in the </w:t>
            </w:r>
            <w:r w:rsidR="002C054B" w:rsidRPr="003155BE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B5523" w:rsidRPr="003155BE" w14:paraId="165AD2A4" w14:textId="77777777" w:rsidTr="00307AD0">
        <w:trPr>
          <w:trHeight w:val="285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E85B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A6B4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F1158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94186" w14:textId="02A259A2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10 or more Close Protectors </w:t>
            </w:r>
            <w:r w:rsidR="00336256" w:rsidRPr="003155BE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38260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D8EC4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B5523" w:rsidRPr="003155BE" w14:paraId="12C3DB08" w14:textId="77777777" w:rsidTr="00307AD0">
        <w:trPr>
          <w:trHeight w:val="165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FA476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651643" w14:textId="29553AF3" w:rsidR="003B5523" w:rsidRPr="003155BE" w:rsidRDefault="005E221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 Bidder must indicate how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many Tactical Response Officers are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available for the execution of the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Services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 the region the </w:t>
            </w:r>
            <w:r w:rsidR="00B70119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intends to deliver the Services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E88D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D2565" w14:textId="45C33E5E" w:rsidR="003B5523" w:rsidRPr="003155BE" w:rsidRDefault="003B552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Less than 10 Tactical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Response Officers </w:t>
            </w:r>
            <w:r w:rsidR="00336256" w:rsidRPr="003155BE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041B3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854565" w14:textId="0E900D57" w:rsidR="003B5523" w:rsidRPr="003155BE" w:rsidRDefault="00FD40E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List of Tactical Response Officers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registered under the Bidder’s 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 xml:space="preserve">and/or the subcontractor’s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name at PSIRA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in the </w:t>
            </w:r>
            <w:r w:rsidR="002C054B" w:rsidRPr="003155BE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E117B1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B5523" w:rsidRPr="003155BE" w14:paraId="578DD2C2" w14:textId="77777777" w:rsidTr="00307AD0">
        <w:trPr>
          <w:trHeight w:val="690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833D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CA59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096AB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0EBE6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10 or more Tactical Response Officers</w:t>
            </w:r>
            <w:r w:rsidR="00336256" w:rsidRPr="003155BE">
              <w:rPr>
                <w:rFonts w:cs="Arial"/>
                <w:color w:val="000000"/>
                <w:sz w:val="18"/>
                <w:szCs w:val="18"/>
              </w:rPr>
              <w:t xml:space="preserve"> in the region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 xml:space="preserve"> tendered for.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69EDC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942A1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B5523" w:rsidRPr="003155BE" w14:paraId="53DC2776" w14:textId="77777777" w:rsidTr="00307AD0">
        <w:trPr>
          <w:trHeight w:val="225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B461F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9E2A93" w14:textId="522551AE" w:rsidR="003B5523" w:rsidRPr="003155BE" w:rsidRDefault="005E221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 Bidder must indicate how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many vehicles are available for the execution of the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Services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 the region the </w:t>
            </w:r>
            <w:r w:rsidR="00B70119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intends to deliver the Services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42F75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D5E1E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Less than 10 vehicles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 xml:space="preserve">in the region 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tendered for.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06ABC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48B6CDC" w14:textId="3960C312" w:rsidR="003B5523" w:rsidRPr="003155BE" w:rsidRDefault="00FD40E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List of vehicles 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>owned by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the Bidder in the </w:t>
            </w:r>
            <w:r w:rsidR="002C054B" w:rsidRPr="003155BE">
              <w:rPr>
                <w:rFonts w:cs="Arial"/>
                <w:color w:val="000000"/>
                <w:sz w:val="18"/>
                <w:szCs w:val="18"/>
              </w:rPr>
              <w:t xml:space="preserve">region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tendered for</w:t>
            </w:r>
            <w:r w:rsidR="00E117B1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B5523" w:rsidRPr="003155BE" w14:paraId="67F28FF4" w14:textId="77777777" w:rsidTr="00307AD0">
        <w:trPr>
          <w:trHeight w:val="572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B727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3279" w14:textId="77777777" w:rsidR="003B5523" w:rsidRPr="003155BE" w:rsidRDefault="003B5523" w:rsidP="00013C75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24DF5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06B4F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10 or more vehicles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 xml:space="preserve">in the region 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tendered for.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1AF29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97C4E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D40E3" w:rsidRPr="003155BE" w14:paraId="3ED7AD81" w14:textId="77777777" w:rsidTr="00307AD0">
        <w:trPr>
          <w:trHeight w:val="399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978C0" w14:textId="77777777" w:rsidR="00FD40E3" w:rsidRPr="003155BE" w:rsidRDefault="00FD40E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9651A7" w14:textId="4D119C26" w:rsidR="00FD40E3" w:rsidRPr="003155BE" w:rsidRDefault="005E221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 Bidder must indicate how</w:t>
            </w:r>
            <w:r w:rsidR="00FD40E3" w:rsidRPr="003155BE">
              <w:rPr>
                <w:rFonts w:cs="Arial"/>
                <w:color w:val="000000"/>
                <w:sz w:val="18"/>
                <w:szCs w:val="18"/>
              </w:rPr>
              <w:t xml:space="preserve"> many Tactical Response vehicles are available for the execution of the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Service</w:t>
            </w:r>
            <w:r w:rsidR="00FD40E3" w:rsidRPr="003155BE">
              <w:rPr>
                <w:rFonts w:cs="Arial"/>
                <w:color w:val="000000"/>
                <w:sz w:val="18"/>
                <w:szCs w:val="18"/>
              </w:rPr>
              <w:t xml:space="preserve"> in the region the </w:t>
            </w:r>
            <w:r w:rsidR="00B70119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FD40E3" w:rsidRPr="003155BE">
              <w:rPr>
                <w:rFonts w:cs="Arial"/>
                <w:color w:val="000000"/>
                <w:sz w:val="18"/>
                <w:szCs w:val="18"/>
              </w:rPr>
              <w:t xml:space="preserve"> intends to deliver the Services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730D0" w14:textId="77777777" w:rsidR="00FD40E3" w:rsidRPr="003155BE" w:rsidRDefault="00FD40E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8576E" w14:textId="37A04236" w:rsidR="00FD40E3" w:rsidRPr="003155BE" w:rsidRDefault="00FD40E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Less than 5 vehicles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 xml:space="preserve">in the region 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tendered for.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EF5D1" w14:textId="77777777" w:rsidR="00FD40E3" w:rsidRPr="003155BE" w:rsidRDefault="00FD40E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299517B" w14:textId="1A18D462" w:rsidR="00FD40E3" w:rsidRPr="003155BE" w:rsidRDefault="00FD40E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List of Tactical Vehicles 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>owned by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the Bidder in the </w:t>
            </w:r>
            <w:r w:rsidR="002C054B" w:rsidRPr="003155BE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D40E3" w:rsidRPr="003155BE" w14:paraId="1AB4C0E8" w14:textId="77777777" w:rsidTr="00307AD0">
        <w:trPr>
          <w:trHeight w:val="267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1530" w14:textId="77777777" w:rsidR="00FD40E3" w:rsidRPr="003155BE" w:rsidRDefault="00FD40E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BEC8" w14:textId="77777777" w:rsidR="00FD40E3" w:rsidRPr="003155BE" w:rsidRDefault="00FD40E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F1AC" w14:textId="77777777" w:rsidR="00FD40E3" w:rsidRPr="003155BE" w:rsidRDefault="00FD40E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046D9" w14:textId="77777777" w:rsidR="00FD40E3" w:rsidRPr="003155BE" w:rsidRDefault="00FD40E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5 or more vehicles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 xml:space="preserve">in the region 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tendered for.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AF249" w14:textId="77777777" w:rsidR="00FD40E3" w:rsidRPr="003155BE" w:rsidRDefault="00FD40E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DB34E" w14:textId="77777777" w:rsidR="00FD40E3" w:rsidRPr="003155BE" w:rsidRDefault="00FD40E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B5523" w:rsidRPr="003155BE" w14:paraId="28A38E45" w14:textId="77777777" w:rsidTr="00307AD0">
        <w:trPr>
          <w:trHeight w:val="501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94AA4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913E8F" w14:textId="77777777" w:rsidR="003B5523" w:rsidRPr="003155BE" w:rsidRDefault="003B552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14:paraId="6619CAA4" w14:textId="1D057E92" w:rsidR="003B5523" w:rsidRPr="003155BE" w:rsidRDefault="005E221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 Bidder must indicate how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many Close Protection vehicles the </w:t>
            </w:r>
            <w:r w:rsidR="00B70119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has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access to for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the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execution of the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Services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 the region intends to deliver the Services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14:paraId="067FD57D" w14:textId="77777777" w:rsidR="003B5523" w:rsidRPr="003155BE" w:rsidRDefault="003B552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DE311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CE808" w14:textId="76D57423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Less than 5 vehicles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 xml:space="preserve">in the region 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>tendered for.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E4143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EEA96B0" w14:textId="15B98920" w:rsidR="003B5523" w:rsidRPr="003155BE" w:rsidRDefault="00FD40E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List of Close Protection vehicles 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 xml:space="preserve">(specifically sedans)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the Bidder has access to in the </w:t>
            </w:r>
            <w:r w:rsidR="002C054B" w:rsidRPr="003155BE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F045EC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B5523" w:rsidRPr="003155BE" w14:paraId="717B832F" w14:textId="77777777" w:rsidTr="00307AD0">
        <w:trPr>
          <w:trHeight w:val="287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A69D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9BB0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2BA28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E31CE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5 or more vehicles</w:t>
            </w:r>
            <w:r w:rsidR="005E2213" w:rsidRPr="003155BE">
              <w:rPr>
                <w:rFonts w:cs="Arial"/>
                <w:color w:val="000000"/>
                <w:sz w:val="18"/>
                <w:szCs w:val="18"/>
              </w:rPr>
              <w:t xml:space="preserve"> in the region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 xml:space="preserve"> tendered for.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9A8E4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112D1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B5523" w:rsidRPr="003155BE" w14:paraId="13756060" w14:textId="77777777" w:rsidTr="00307AD0">
        <w:trPr>
          <w:trHeight w:val="922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4A92C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BAC3A4" w14:textId="47CD242A" w:rsidR="003B5523" w:rsidRPr="003155BE" w:rsidRDefault="005D6806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B70119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must indicate that it has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>a control room in the region it intends to deliver the Services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  <w:p w14:paraId="01F04F70" w14:textId="77777777" w:rsidR="003B5523" w:rsidRPr="003155BE" w:rsidRDefault="003B552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1BAE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6D18F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 control room</w:t>
            </w:r>
            <w:r w:rsidR="00E117B1" w:rsidRPr="003155BE">
              <w:rPr>
                <w:rFonts w:cs="Arial"/>
                <w:color w:val="000000"/>
                <w:sz w:val="18"/>
                <w:szCs w:val="18"/>
              </w:rPr>
              <w:t>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225B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44CDADF" w14:textId="33E795B8" w:rsidR="003B5523" w:rsidRPr="003155BE" w:rsidRDefault="00FD40E3" w:rsidP="00086D1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Proof 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 xml:space="preserve">of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ownership 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 xml:space="preserve">of the building where the control room is situated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or 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rental agreement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 xml:space="preserve"> for the leasing thereof and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pictures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 xml:space="preserve"> demonstrating the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capability (systems, </w:t>
            </w:r>
            <w:r w:rsidR="00086D19">
              <w:rPr>
                <w:rFonts w:cs="Arial"/>
                <w:color w:val="000000"/>
                <w:sz w:val="18"/>
                <w:szCs w:val="18"/>
              </w:rPr>
              <w:t>personnel manning the control room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, procedures) of 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 xml:space="preserve">the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control room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registered under the Bidder’s name 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 xml:space="preserve">with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PSIRA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in the region tendered for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B5523" w:rsidRPr="003155BE" w14:paraId="12E18E70" w14:textId="77777777" w:rsidTr="00307AD0">
        <w:trPr>
          <w:trHeight w:val="288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01AB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B8D8" w14:textId="77777777" w:rsidR="003B5523" w:rsidRPr="003155BE" w:rsidRDefault="003B5523" w:rsidP="00013C75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2E107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A9FA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1 or more control room</w:t>
            </w:r>
            <w:r w:rsidR="00E117B1" w:rsidRPr="003155BE">
              <w:rPr>
                <w:rFonts w:cs="Arial"/>
                <w:color w:val="000000"/>
                <w:sz w:val="18"/>
                <w:szCs w:val="18"/>
              </w:rPr>
              <w:t>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8ACE4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9533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B5523" w:rsidRPr="003155BE" w14:paraId="3C78B324" w14:textId="77777777" w:rsidTr="00307AD0">
        <w:trPr>
          <w:trHeight w:val="144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080C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9B9864" w14:textId="5E6FC00E" w:rsidR="003B5523" w:rsidRPr="003155BE" w:rsidRDefault="00436FE5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D323FD" w:rsidRPr="003155BE">
              <w:rPr>
                <w:rFonts w:cs="Arial"/>
                <w:color w:val="000000"/>
                <w:sz w:val="18"/>
                <w:szCs w:val="18"/>
              </w:rPr>
              <w:t xml:space="preserve">Bidder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must detail the communication tools</w:t>
            </w:r>
            <w:r w:rsidR="00E117B1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>that demonstrate its ability to communicate with SARS, its employees and its control room</w:t>
            </w:r>
            <w:r w:rsidR="005D6806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14:paraId="5231FAAF" w14:textId="77777777" w:rsidR="003B5523" w:rsidRPr="003155BE" w:rsidRDefault="003B5523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AFAEA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8E010" w14:textId="12DEE808" w:rsidR="003B5523" w:rsidRPr="003155BE" w:rsidRDefault="00336136" w:rsidP="00086D1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Description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that details the communication tools</w:t>
            </w:r>
            <w:r w:rsidR="00E117B1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utilised not submitted</w:t>
            </w:r>
            <w:r w:rsidR="00E117B1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8A5B8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66A70DE" w14:textId="70CC846C" w:rsidR="003B5523" w:rsidRPr="003155BE" w:rsidRDefault="00336136" w:rsidP="00086D1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A detailed description of available communication</w:t>
            </w:r>
            <w:r w:rsidR="00E5160F" w:rsidRPr="003155BE">
              <w:rPr>
                <w:rFonts w:cs="Arial"/>
                <w:color w:val="000000"/>
                <w:sz w:val="18"/>
                <w:szCs w:val="18"/>
              </w:rPr>
              <w:t xml:space="preserve"> tools</w:t>
            </w:r>
            <w:r w:rsidR="00E117B1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utilised by the 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4B4D71" w:rsidRPr="003155BE">
              <w:rPr>
                <w:rFonts w:cs="Arial"/>
                <w:color w:val="000000"/>
                <w:sz w:val="18"/>
                <w:szCs w:val="18"/>
              </w:rPr>
              <w:t xml:space="preserve"> (e.g. two-way radios, cellular telephones)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in order to demonstrate its ability to communicate with SAR</w:t>
            </w:r>
            <w:r w:rsidR="001A24EB" w:rsidRPr="003155BE">
              <w:rPr>
                <w:rFonts w:cs="Arial"/>
                <w:color w:val="000000"/>
                <w:sz w:val="18"/>
                <w:szCs w:val="18"/>
              </w:rPr>
              <w:t>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, its employees and its control room.</w:t>
            </w:r>
          </w:p>
        </w:tc>
      </w:tr>
      <w:tr w:rsidR="003B5523" w:rsidRPr="003155BE" w14:paraId="55BB03AC" w14:textId="77777777" w:rsidTr="00307AD0">
        <w:trPr>
          <w:trHeight w:val="456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3248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FBED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39208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61C10" w14:textId="71011BA4" w:rsidR="003B5523" w:rsidRPr="003155BE" w:rsidRDefault="00336136" w:rsidP="00086D1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Submitted a description that details the communication tools</w:t>
            </w:r>
            <w:r w:rsidR="002F634D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utilised.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F85E0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FCA27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251A9" w:rsidRPr="003155BE" w14:paraId="04E594C3" w14:textId="77777777" w:rsidTr="00307AD0">
        <w:trPr>
          <w:trHeight w:val="416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88BE98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049047" w14:textId="7B7B2175" w:rsidR="00F251A9" w:rsidRPr="003155BE" w:rsidRDefault="00333916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</w:t>
            </w:r>
            <w:r w:rsidR="00F251A9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CE2F33" w:rsidRPr="003155BE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F251A9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 xml:space="preserve">must </w:t>
            </w:r>
            <w:r w:rsidR="00F251A9" w:rsidRPr="003155BE">
              <w:rPr>
                <w:rFonts w:cs="Arial"/>
                <w:color w:val="000000"/>
                <w:sz w:val="18"/>
                <w:szCs w:val="18"/>
              </w:rPr>
              <w:t>provide a detail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ed</w:t>
            </w:r>
            <w:r w:rsidR="00F251A9" w:rsidRPr="003155BE">
              <w:rPr>
                <w:rFonts w:cs="Arial"/>
                <w:color w:val="000000"/>
                <w:sz w:val="18"/>
                <w:szCs w:val="18"/>
              </w:rPr>
              <w:t xml:space="preserve"> plan that indicates how they will respond to SARS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Sites</w:t>
            </w:r>
            <w:r w:rsidR="00E5160F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="00F251A9" w:rsidRPr="003155BE">
              <w:rPr>
                <w:rFonts w:cs="Arial"/>
                <w:color w:val="000000"/>
                <w:sz w:val="18"/>
                <w:szCs w:val="18"/>
              </w:rPr>
              <w:t xml:space="preserve"> events and personnel within fifteen (15) minutes after an alarm has triggered,</w:t>
            </w:r>
            <w:r w:rsidR="00F251A9" w:rsidRPr="003155BE">
              <w:rPr>
                <w:rFonts w:cs="Arial"/>
                <w:sz w:val="18"/>
                <w:szCs w:val="18"/>
              </w:rPr>
              <w:t xml:space="preserve"> or </w:t>
            </w:r>
            <w:r w:rsidR="00E5160F" w:rsidRPr="003155BE">
              <w:rPr>
                <w:rFonts w:cs="Arial"/>
                <w:sz w:val="18"/>
                <w:szCs w:val="18"/>
              </w:rPr>
              <w:t xml:space="preserve">if </w:t>
            </w:r>
            <w:r w:rsidR="00F251A9" w:rsidRPr="003155BE">
              <w:rPr>
                <w:rFonts w:cs="Arial"/>
                <w:sz w:val="18"/>
                <w:szCs w:val="18"/>
              </w:rPr>
              <w:t xml:space="preserve">there is a </w:t>
            </w:r>
            <w:r w:rsidR="00E5160F" w:rsidRPr="003155BE">
              <w:rPr>
                <w:rFonts w:cs="Arial"/>
                <w:sz w:val="18"/>
                <w:szCs w:val="18"/>
              </w:rPr>
              <w:t>Security Incident</w:t>
            </w:r>
            <w:r w:rsidR="000E57A3" w:rsidRPr="003155BE">
              <w:rPr>
                <w:rFonts w:cs="Arial"/>
                <w:sz w:val="18"/>
                <w:szCs w:val="18"/>
              </w:rPr>
              <w:t xml:space="preserve"> or Emergency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14:paraId="711FE370" w14:textId="77777777" w:rsidR="00F251A9" w:rsidRPr="003155BE" w:rsidRDefault="00F251A9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14:paraId="6F6522E4" w14:textId="77777777" w:rsidR="00F251A9" w:rsidRPr="003155BE" w:rsidRDefault="00F251A9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8718D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33C73" w14:textId="6B497B02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Detail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ed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plan that indicates how 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 xml:space="preserve">the Bidder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will respond to SARS 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Sites,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events and personnel within 15 minutes after an alarm has triggered</w:t>
            </w:r>
            <w:r w:rsidR="00471A91" w:rsidRPr="003155BE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="00471A91" w:rsidRPr="003155BE">
              <w:rPr>
                <w:rFonts w:cs="Arial"/>
                <w:sz w:val="18"/>
                <w:szCs w:val="18"/>
              </w:rPr>
              <w:t xml:space="preserve">or if there </w:t>
            </w:r>
            <w:r w:rsidR="002F634D" w:rsidRPr="003155BE">
              <w:rPr>
                <w:rFonts w:cs="Arial"/>
                <w:sz w:val="18"/>
                <w:szCs w:val="18"/>
              </w:rPr>
              <w:t>is</w:t>
            </w:r>
            <w:r w:rsidR="000E57A3" w:rsidRPr="003155BE">
              <w:rPr>
                <w:rFonts w:cs="Arial"/>
                <w:sz w:val="18"/>
                <w:szCs w:val="18"/>
              </w:rPr>
              <w:t xml:space="preserve"> </w:t>
            </w:r>
            <w:r w:rsidR="00471A91" w:rsidRPr="003155BE">
              <w:rPr>
                <w:rFonts w:cs="Arial"/>
                <w:sz w:val="18"/>
                <w:szCs w:val="18"/>
              </w:rPr>
              <w:t>Security Incident</w:t>
            </w:r>
            <w:r w:rsidR="000E57A3" w:rsidRPr="003155BE">
              <w:rPr>
                <w:rFonts w:cs="Arial"/>
                <w:sz w:val="18"/>
                <w:szCs w:val="18"/>
              </w:rPr>
              <w:t xml:space="preserve"> or Emergency,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not submitted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30A15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AB6764F" w14:textId="4322C1B3" w:rsidR="00F251A9" w:rsidRPr="003155BE" w:rsidRDefault="00F251A9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detailed plan indicating how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the Bidder 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will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meet the </w:t>
            </w:r>
            <w:r w:rsidR="00333916" w:rsidRPr="003155BE">
              <w:rPr>
                <w:rFonts w:cs="Arial"/>
                <w:color w:val="000000"/>
                <w:sz w:val="18"/>
                <w:szCs w:val="18"/>
              </w:rPr>
              <w:t>fifteen (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15</w:t>
            </w:r>
            <w:r w:rsidR="00333916" w:rsidRPr="003155BE">
              <w:rPr>
                <w:rFonts w:cs="Arial"/>
                <w:color w:val="000000"/>
                <w:sz w:val="18"/>
                <w:szCs w:val="18"/>
              </w:rPr>
              <w:t>)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minute response threshold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 xml:space="preserve"> if an alarm has triggered, or if there is a Security Incident or Emergency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251A9" w:rsidRPr="003155BE" w14:paraId="5022D58C" w14:textId="77777777" w:rsidTr="00013C75">
        <w:trPr>
          <w:trHeight w:val="720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AB11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AE26" w14:textId="77777777" w:rsidR="00F251A9" w:rsidRPr="003155BE" w:rsidRDefault="00F251A9" w:rsidP="00013C75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0D520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D0711" w14:textId="24CB4D7B" w:rsidR="00F251A9" w:rsidRPr="003155BE" w:rsidRDefault="00F251A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Detail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ed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plan that indicates how 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 xml:space="preserve">the Bidder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will respond to SARS 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Sites,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events and personnel within 15 minutes after an alarm has triggered</w:t>
            </w:r>
            <w:r w:rsidR="00471A91" w:rsidRPr="003155BE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="00471A91" w:rsidRPr="003155BE">
              <w:rPr>
                <w:rFonts w:cs="Arial"/>
                <w:sz w:val="18"/>
                <w:szCs w:val="18"/>
              </w:rPr>
              <w:t>or if there is a Security Incident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0E57A3" w:rsidRPr="003155BE">
              <w:rPr>
                <w:rFonts w:cs="Arial"/>
                <w:sz w:val="18"/>
                <w:szCs w:val="18"/>
              </w:rPr>
              <w:t>and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 xml:space="preserve"> Emergency,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submitted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4D3DE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0CA70" w14:textId="77777777" w:rsidR="00F251A9" w:rsidRPr="003155BE" w:rsidRDefault="00F251A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B5523" w:rsidRPr="003155BE" w14:paraId="204AB22A" w14:textId="77777777" w:rsidTr="00013C75">
        <w:trPr>
          <w:trHeight w:val="240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31CD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6C6E" w14:textId="1BE40380" w:rsidR="003B5523" w:rsidRPr="003155BE" w:rsidRDefault="00333916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D323FD" w:rsidRPr="003155BE">
              <w:rPr>
                <w:rFonts w:cs="Arial"/>
                <w:color w:val="000000"/>
                <w:sz w:val="18"/>
                <w:szCs w:val="18"/>
              </w:rPr>
              <w:t>B</w:t>
            </w:r>
            <w:r w:rsidR="00B70119" w:rsidRPr="003155BE">
              <w:rPr>
                <w:rFonts w:cs="Arial"/>
                <w:color w:val="000000"/>
                <w:sz w:val="18"/>
                <w:szCs w:val="18"/>
              </w:rPr>
              <w:t>i</w:t>
            </w:r>
            <w:r w:rsidR="00D323FD" w:rsidRPr="003155BE">
              <w:rPr>
                <w:rFonts w:cs="Arial"/>
                <w:color w:val="000000"/>
                <w:sz w:val="18"/>
                <w:szCs w:val="18"/>
              </w:rPr>
              <w:t>dder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 xml:space="preserve">must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detail its process 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>for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track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>ing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>tracing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0E57A3" w:rsidRPr="003155BE">
              <w:rPr>
                <w:rFonts w:cs="Arial"/>
                <w:color w:val="000000"/>
                <w:sz w:val="18"/>
                <w:szCs w:val="18"/>
              </w:rPr>
              <w:t xml:space="preserve">and 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>communication between the Bidder’s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BE3125" w:rsidRPr="003155BE">
              <w:rPr>
                <w:rFonts w:cs="Arial"/>
                <w:color w:val="000000"/>
                <w:sz w:val="18"/>
                <w:szCs w:val="18"/>
              </w:rPr>
              <w:t xml:space="preserve">control room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and 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 xml:space="preserve">its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>Tactical Response and VIP Protection vehicles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25B1A" w14:textId="77777777" w:rsidR="003B5523" w:rsidRPr="00307AD0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07AD0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DD58D" w14:textId="1566F3CF" w:rsidR="003B5523" w:rsidRPr="003155BE" w:rsidRDefault="00BE3125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E3125">
              <w:rPr>
                <w:rFonts w:cs="Arial"/>
                <w:color w:val="000000"/>
                <w:sz w:val="18"/>
                <w:szCs w:val="18"/>
              </w:rPr>
              <w:t xml:space="preserve">Document detailing the process of tracking, tracing and communication between the Bidder’s control room and its Armed Response vehicles, as well as a tracking report, not submitted.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66BA5" w14:textId="77777777" w:rsidR="006B022C" w:rsidRPr="003155BE" w:rsidRDefault="006B022C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14:paraId="6D3C8895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50AEB2" w14:textId="09C0599B" w:rsidR="003B5523" w:rsidRPr="003155BE" w:rsidRDefault="00F251A9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document detailing the </w:t>
            </w:r>
            <w:r w:rsidR="00BE3125">
              <w:rPr>
                <w:rFonts w:cs="Arial"/>
                <w:color w:val="000000"/>
                <w:sz w:val="18"/>
                <w:szCs w:val="18"/>
              </w:rPr>
              <w:t xml:space="preserve">process of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track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>ing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 xml:space="preserve">tracing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and communicat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>ion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 xml:space="preserve">between the Bidder’s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control room and </w:t>
            </w:r>
            <w:r w:rsidR="00BE3125">
              <w:rPr>
                <w:rFonts w:cs="Arial"/>
                <w:color w:val="000000"/>
                <w:sz w:val="18"/>
                <w:szCs w:val="18"/>
              </w:rPr>
              <w:t xml:space="preserve">its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Tactical Response and Close Protection vehicles</w:t>
            </w:r>
            <w:r w:rsidR="00BE3125">
              <w:rPr>
                <w:rFonts w:cs="Arial"/>
                <w:color w:val="000000"/>
                <w:sz w:val="18"/>
                <w:szCs w:val="18"/>
              </w:rPr>
              <w:t>, as well as an example of a</w:t>
            </w:r>
            <w:r w:rsidR="00BE3125" w:rsidRPr="00BE3125">
              <w:rPr>
                <w:rFonts w:cs="Arial"/>
                <w:color w:val="000000"/>
                <w:sz w:val="18"/>
                <w:szCs w:val="18"/>
              </w:rPr>
              <w:t xml:space="preserve"> tracking report</w:t>
            </w:r>
            <w:r w:rsidR="00BE3125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B5523" w:rsidRPr="003155BE" w14:paraId="20E1EC95" w14:textId="77777777" w:rsidTr="00013C75">
        <w:trPr>
          <w:trHeight w:val="240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C461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B640" w14:textId="77777777" w:rsidR="003B5523" w:rsidRPr="003155BE" w:rsidRDefault="003B5523" w:rsidP="00013C75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77636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EE1F6" w14:textId="333A39F2" w:rsidR="003B5523" w:rsidRPr="003155BE" w:rsidRDefault="00BE3125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E3125">
              <w:rPr>
                <w:rFonts w:cs="Arial"/>
                <w:color w:val="000000"/>
                <w:sz w:val="18"/>
                <w:szCs w:val="18"/>
              </w:rPr>
              <w:t>Document detailing the process of tracking, tracing and communication between the Bidder’s control room and its Armed Response vehicles, as well as a tracking report, submitted.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F8D61" w14:textId="77777777" w:rsidR="006B022C" w:rsidRPr="003155BE" w:rsidRDefault="006B022C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14:paraId="716FBB78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7E6E6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52727" w:rsidRPr="003155BE" w14:paraId="3AB44DF9" w14:textId="77777777" w:rsidTr="00307AD0">
        <w:trPr>
          <w:trHeight w:val="301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63DE09B" w14:textId="77777777" w:rsidR="00252727" w:rsidRPr="003155BE" w:rsidRDefault="00252727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3155BE">
              <w:rPr>
                <w:rFonts w:cs="Arial"/>
                <w:b/>
                <w:bCs/>
                <w:color w:val="000000"/>
              </w:rPr>
              <w:t>3.0</w:t>
            </w: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EDE50EE" w14:textId="77777777" w:rsidR="00252727" w:rsidRPr="003155BE" w:rsidRDefault="00252727" w:rsidP="003155BE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  <w:r w:rsidRPr="003155BE">
              <w:rPr>
                <w:rFonts w:cs="Arial"/>
                <w:b/>
                <w:bCs/>
                <w:color w:val="000000"/>
              </w:rPr>
              <w:t>Services’ Offering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1D3A443" w14:textId="77777777" w:rsidR="00252727" w:rsidRPr="003155BE" w:rsidRDefault="00252727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3155BE">
              <w:rPr>
                <w:rFonts w:cs="Arial"/>
                <w:b/>
                <w:bCs/>
                <w:color w:val="000000"/>
              </w:rPr>
              <w:t>45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516418" w14:textId="77777777" w:rsidR="00252727" w:rsidRPr="003155BE" w:rsidRDefault="00252727" w:rsidP="003155BE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79F10A" w14:textId="77777777" w:rsidR="00252727" w:rsidRPr="003155BE" w:rsidRDefault="00252727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210472" w14:textId="77777777" w:rsidR="00252727" w:rsidRPr="003155BE" w:rsidRDefault="00252727" w:rsidP="00307AD0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</w:tr>
      <w:tr w:rsidR="003B5523" w:rsidRPr="003155BE" w14:paraId="58D58C65" w14:textId="77777777" w:rsidTr="00307AD0">
        <w:trPr>
          <w:trHeight w:val="263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02B04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B990F8" w14:textId="24E3E8D5" w:rsidR="003B5523" w:rsidRPr="003155BE" w:rsidRDefault="001A0FE9" w:rsidP="003155BE">
            <w:pPr>
              <w:pStyle w:val="ListParagraph"/>
              <w:widowControl w:val="0"/>
              <w:tabs>
                <w:tab w:val="left" w:pos="1029"/>
              </w:tabs>
              <w:spacing w:line="276" w:lineRule="auto"/>
              <w:ind w:left="0"/>
              <w:contextualSpacing w:val="0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The Bidder must submit a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service delivery methodology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that 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>define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 detail the </w:t>
            </w:r>
            <w:r w:rsidR="008407D8" w:rsidRPr="00307AD0">
              <w:rPr>
                <w:rFonts w:cs="Arial"/>
                <w:color w:val="000000"/>
                <w:sz w:val="18"/>
                <w:szCs w:val="18"/>
              </w:rPr>
              <w:t xml:space="preserve">fifteen </w:t>
            </w:r>
            <w:r w:rsidR="003B5523" w:rsidRPr="00307AD0">
              <w:rPr>
                <w:rFonts w:cs="Arial"/>
                <w:color w:val="000000"/>
                <w:sz w:val="18"/>
                <w:szCs w:val="18"/>
              </w:rPr>
              <w:t>(</w:t>
            </w:r>
            <w:r w:rsidR="008407D8" w:rsidRPr="00307AD0">
              <w:rPr>
                <w:rFonts w:cs="Arial"/>
                <w:color w:val="000000"/>
                <w:sz w:val="18"/>
                <w:szCs w:val="18"/>
              </w:rPr>
              <w:t>15</w:t>
            </w:r>
            <w:r w:rsidR="003B5523" w:rsidRPr="00307AD0">
              <w:rPr>
                <w:rFonts w:cs="Arial"/>
                <w:color w:val="000000"/>
                <w:sz w:val="18"/>
                <w:szCs w:val="18"/>
              </w:rPr>
              <w:t>) areas stated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in the scope of work in </w:t>
            </w:r>
            <w:r w:rsidR="003B5523" w:rsidRPr="00307AD0">
              <w:rPr>
                <w:rFonts w:cs="Arial"/>
                <w:color w:val="000000"/>
                <w:sz w:val="18"/>
                <w:szCs w:val="18"/>
              </w:rPr>
              <w:t>paragraph 9.1</w:t>
            </w:r>
            <w:r w:rsidR="00820FC9">
              <w:rPr>
                <w:rFonts w:cs="Arial"/>
                <w:color w:val="000000"/>
                <w:sz w:val="18"/>
                <w:szCs w:val="18"/>
              </w:rPr>
              <w:t>.1</w:t>
            </w:r>
            <w:r w:rsidR="003B5523" w:rsidRPr="003155BE">
              <w:rPr>
                <w:rFonts w:cs="Arial"/>
                <w:color w:val="000000"/>
                <w:sz w:val="18"/>
                <w:szCs w:val="18"/>
              </w:rPr>
              <w:t xml:space="preserve"> of the RFP document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B5AC0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55DBA" w14:textId="5667F45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Submitted detail of less than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 xml:space="preserve">15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areas as stated in the scope of work of the RFP document.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98A94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6C619B8" w14:textId="70BFF224" w:rsidR="003B5523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A document detailing the service delivery methodology in line with the scope of work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 xml:space="preserve"> of the RFP document</w:t>
            </w:r>
            <w:r w:rsidR="002C054B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B5523" w:rsidRPr="003155BE" w14:paraId="5606BA0B" w14:textId="77777777" w:rsidTr="00307AD0">
        <w:trPr>
          <w:trHeight w:val="438"/>
        </w:trPr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7F5C1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1BB8A3" w14:textId="77777777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4903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8E569" w14:textId="0EB93A74" w:rsidR="003B5523" w:rsidRPr="003155BE" w:rsidRDefault="003B5523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Submitted detail in all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>15</w:t>
            </w:r>
            <w:r w:rsidR="001A0FE9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areas as stated in the scope of work of the RFP document.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B55C781" w14:textId="77777777" w:rsidR="003B5523" w:rsidRPr="003155BE" w:rsidRDefault="003B5523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4D3A250" w14:textId="77777777" w:rsidR="003B5523" w:rsidRPr="003155BE" w:rsidRDefault="003B5523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251A9" w:rsidRPr="003155BE" w14:paraId="1F55ABBD" w14:textId="77777777" w:rsidTr="00307AD0">
        <w:trPr>
          <w:trHeight w:val="195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0FD0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9773E7" w14:textId="21810049" w:rsidR="00F251A9" w:rsidRPr="003155BE" w:rsidRDefault="001A0FE9" w:rsidP="003155BE">
            <w:pPr>
              <w:widowControl w:val="0"/>
              <w:tabs>
                <w:tab w:val="left" w:pos="1029"/>
              </w:tabs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3155BE">
              <w:rPr>
                <w:rFonts w:cs="Arial"/>
                <w:sz w:val="18"/>
                <w:szCs w:val="18"/>
              </w:rPr>
              <w:t>The</w:t>
            </w:r>
            <w:r w:rsidR="00F251A9" w:rsidRPr="003155BE">
              <w:rPr>
                <w:rFonts w:cs="Arial"/>
                <w:sz w:val="18"/>
                <w:szCs w:val="18"/>
              </w:rPr>
              <w:t xml:space="preserve"> </w:t>
            </w:r>
            <w:r w:rsidR="002C054B" w:rsidRPr="003155BE">
              <w:rPr>
                <w:rFonts w:cs="Arial"/>
                <w:sz w:val="18"/>
                <w:szCs w:val="18"/>
              </w:rPr>
              <w:t>Bidder</w:t>
            </w:r>
            <w:r w:rsidR="00F251A9" w:rsidRPr="003155BE">
              <w:rPr>
                <w:rFonts w:cs="Arial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sz w:val="18"/>
                <w:szCs w:val="18"/>
              </w:rPr>
              <w:t xml:space="preserve">must provide </w:t>
            </w:r>
            <w:r w:rsidR="00F251A9" w:rsidRPr="003155BE">
              <w:rPr>
                <w:rFonts w:cs="Arial"/>
                <w:sz w:val="18"/>
                <w:szCs w:val="18"/>
              </w:rPr>
              <w:t>a proposal and specifications for a mobile CCTV and alarm system that will be deployed at SARS</w:t>
            </w:r>
            <w:r w:rsidR="008407D8" w:rsidRPr="003155BE">
              <w:rPr>
                <w:rFonts w:cs="Arial"/>
                <w:sz w:val="18"/>
                <w:szCs w:val="18"/>
              </w:rPr>
              <w:t xml:space="preserve"> Sites </w:t>
            </w:r>
            <w:r w:rsidRPr="003155BE">
              <w:rPr>
                <w:rFonts w:cs="Arial"/>
                <w:sz w:val="18"/>
                <w:szCs w:val="18"/>
              </w:rPr>
              <w:t xml:space="preserve">and </w:t>
            </w:r>
            <w:r w:rsidR="00F251A9" w:rsidRPr="003155BE">
              <w:rPr>
                <w:rFonts w:cs="Arial"/>
                <w:sz w:val="18"/>
                <w:szCs w:val="18"/>
              </w:rPr>
              <w:t>events</w:t>
            </w:r>
            <w:r w:rsidR="002F634D" w:rsidRPr="003155BE">
              <w:rPr>
                <w:rFonts w:cs="Arial"/>
                <w:sz w:val="18"/>
                <w:szCs w:val="18"/>
              </w:rPr>
              <w:t>.</w:t>
            </w:r>
            <w:r w:rsidR="00F251A9" w:rsidRPr="003155BE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60D9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4F4D" w14:textId="7FCFDB22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Not submitted</w:t>
            </w:r>
            <w:r w:rsidRPr="003155BE">
              <w:rPr>
                <w:rFonts w:cs="Arial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proposal and specifications for a mobile CCTV and alarm system that will be deployed at SARS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>Sites and events.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54185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1F7198" w14:textId="64169917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detailed proposal and specifications for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mobile CCTV and alarm system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251A9" w:rsidRPr="003155BE" w14:paraId="37947539" w14:textId="77777777" w:rsidTr="00307AD0">
        <w:trPr>
          <w:trHeight w:val="150"/>
        </w:trPr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2B22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457709" w14:textId="77777777" w:rsidR="00F251A9" w:rsidRPr="003155BE" w:rsidRDefault="00F251A9" w:rsidP="003155BE">
            <w:pPr>
              <w:widowControl w:val="0"/>
              <w:tabs>
                <w:tab w:val="left" w:pos="1029"/>
              </w:tabs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4A39C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5D95" w14:textId="1F93CE06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Submitted</w:t>
            </w:r>
            <w:r w:rsidRPr="003155BE">
              <w:rPr>
                <w:rFonts w:cs="Arial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proposal and specifications for a mobile CCTV and alarm system that will be deployed at SARS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>Sites and events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3E2AA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B5CD0" w14:textId="77777777" w:rsidR="00F251A9" w:rsidRPr="003155BE" w:rsidRDefault="00F251A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251A9" w:rsidRPr="003155BE" w14:paraId="75659836" w14:textId="77777777" w:rsidTr="00307AD0">
        <w:trPr>
          <w:trHeight w:val="143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1E77E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14:paraId="27FABA2C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3.3</w:t>
            </w:r>
          </w:p>
          <w:p w14:paraId="58C4E4F4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903C9C" w14:textId="04537DD2" w:rsidR="00F251A9" w:rsidRPr="003155BE" w:rsidRDefault="003E5929" w:rsidP="00307AD0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sz w:val="18"/>
                <w:szCs w:val="18"/>
                <w:lang w:val="en-ZA"/>
              </w:rPr>
            </w:pPr>
            <w:r w:rsidRPr="003155BE">
              <w:rPr>
                <w:rFonts w:cs="Arial"/>
                <w:b w:val="0"/>
                <w:sz w:val="18"/>
                <w:szCs w:val="18"/>
                <w:lang w:val="en-ZA"/>
              </w:rPr>
              <w:t>The</w:t>
            </w:r>
            <w:r w:rsidR="00F251A9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 </w:t>
            </w:r>
            <w:r w:rsidR="00D0266D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Bidder </w:t>
            </w:r>
            <w:r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must </w:t>
            </w:r>
            <w:r w:rsidR="00F251A9" w:rsidRPr="003155BE">
              <w:rPr>
                <w:rFonts w:cs="Arial"/>
                <w:b w:val="0"/>
                <w:sz w:val="18"/>
                <w:szCs w:val="18"/>
                <w:lang w:val="en-ZA"/>
              </w:rPr>
              <w:t>submit a plan detailing how</w:t>
            </w:r>
            <w:r w:rsidR="008407D8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 it</w:t>
            </w:r>
            <w:r w:rsidR="00F251A9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 will respond to </w:t>
            </w:r>
            <w:r w:rsidR="008407D8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an </w:t>
            </w:r>
            <w:r w:rsidR="00F251A9" w:rsidRPr="003155BE">
              <w:rPr>
                <w:rFonts w:cs="Arial"/>
                <w:b w:val="0"/>
                <w:sz w:val="18"/>
                <w:szCs w:val="18"/>
                <w:lang w:val="en-ZA"/>
              </w:rPr>
              <w:t>emergency request for Tactical and Armed</w:t>
            </w:r>
            <w:r w:rsidR="008407D8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 Response </w:t>
            </w:r>
            <w:r w:rsidR="00F251A9" w:rsidRPr="003155BE">
              <w:rPr>
                <w:rFonts w:cs="Arial"/>
                <w:b w:val="0"/>
                <w:sz w:val="18"/>
                <w:szCs w:val="18"/>
                <w:lang w:val="en-ZA"/>
              </w:rPr>
              <w:t>to SARS</w:t>
            </w:r>
            <w:r w:rsidRPr="003155BE">
              <w:rPr>
                <w:rFonts w:cs="Arial"/>
                <w:b w:val="0"/>
                <w:sz w:val="18"/>
                <w:szCs w:val="18"/>
                <w:lang w:val="en-ZA"/>
              </w:rPr>
              <w:t>.</w:t>
            </w:r>
            <w:r w:rsidR="00F251A9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 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1E996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132F" w14:textId="203A8C8F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Did not submit a plan detailing how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 xml:space="preserve">the Bidder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will respond to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 xml:space="preserve">an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emergency request for Tactical and Armed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>Response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to SARS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BB6EF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65C5E4" w14:textId="71D8E034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plan detailing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 xml:space="preserve">how the Bidder will respond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to 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 xml:space="preserve">an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emergency request for Tactical and Armed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 xml:space="preserve"> Response to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SARS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251A9" w:rsidRPr="003155BE" w14:paraId="050A30D3" w14:textId="77777777" w:rsidTr="00307AD0">
        <w:trPr>
          <w:trHeight w:val="117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D4E65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5F6B" w14:textId="77777777" w:rsidR="00F251A9" w:rsidRPr="003155BE" w:rsidRDefault="00F251A9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A66D5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7E6D9" w14:textId="281E0F99" w:rsidR="00F251A9" w:rsidRPr="003155BE" w:rsidRDefault="008407D8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Submitted</w:t>
            </w:r>
            <w:r w:rsidR="00F251A9" w:rsidRPr="003155BE">
              <w:rPr>
                <w:rFonts w:cs="Arial"/>
                <w:color w:val="000000"/>
                <w:sz w:val="18"/>
                <w:szCs w:val="18"/>
              </w:rPr>
              <w:t xml:space="preserve"> a plan detailing how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the Bidder </w:t>
            </w:r>
            <w:r w:rsidR="00F251A9" w:rsidRPr="003155BE">
              <w:rPr>
                <w:rFonts w:cs="Arial"/>
                <w:color w:val="000000"/>
                <w:sz w:val="18"/>
                <w:szCs w:val="18"/>
              </w:rPr>
              <w:t xml:space="preserve">will respond to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an </w:t>
            </w:r>
            <w:r w:rsidR="00F251A9" w:rsidRPr="003155BE">
              <w:rPr>
                <w:rFonts w:cs="Arial"/>
                <w:color w:val="000000"/>
                <w:sz w:val="18"/>
                <w:szCs w:val="18"/>
              </w:rPr>
              <w:t xml:space="preserve">emergency request for Tactical and Armed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Response </w:t>
            </w:r>
            <w:r w:rsidR="00F251A9" w:rsidRPr="003155BE">
              <w:rPr>
                <w:rFonts w:cs="Arial"/>
                <w:color w:val="000000"/>
                <w:sz w:val="18"/>
                <w:szCs w:val="18"/>
              </w:rPr>
              <w:t>to SARS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FFB21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21B33" w14:textId="77777777" w:rsidR="00F251A9" w:rsidRPr="003155BE" w:rsidRDefault="00F251A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251A9" w:rsidRPr="003155BE" w14:paraId="5038BBA5" w14:textId="77777777" w:rsidTr="00307AD0">
        <w:trPr>
          <w:trHeight w:val="117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FB217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14:paraId="56601956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3.4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D12F" w14:textId="32B764DF" w:rsidR="00F251A9" w:rsidRPr="003155BE" w:rsidRDefault="003E5929" w:rsidP="00086D19">
            <w:pPr>
              <w:widowControl w:val="0"/>
              <w:spacing w:line="276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3155BE">
              <w:rPr>
                <w:rFonts w:cs="Arial"/>
                <w:bCs/>
                <w:sz w:val="18"/>
                <w:szCs w:val="18"/>
              </w:rPr>
              <w:t>The</w:t>
            </w:r>
            <w:r w:rsidR="00F251A9" w:rsidRPr="003155BE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D0266D" w:rsidRPr="003155BE">
              <w:rPr>
                <w:rFonts w:cs="Arial"/>
                <w:bCs/>
                <w:sz w:val="18"/>
                <w:szCs w:val="18"/>
              </w:rPr>
              <w:t>Bidder</w:t>
            </w:r>
            <w:r w:rsidR="00F251A9" w:rsidRPr="003155BE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bCs/>
                <w:sz w:val="18"/>
                <w:szCs w:val="18"/>
              </w:rPr>
              <w:t xml:space="preserve">must </w:t>
            </w:r>
            <w:r w:rsidR="00F251A9" w:rsidRPr="003155BE">
              <w:rPr>
                <w:rFonts w:cs="Arial"/>
                <w:bCs/>
                <w:sz w:val="18"/>
                <w:szCs w:val="18"/>
              </w:rPr>
              <w:t>provide a process flow on how to conduct personnel, event and site risk assessments</w:t>
            </w:r>
            <w:r w:rsidR="00820FC9">
              <w:rPr>
                <w:rFonts w:cs="Arial"/>
                <w:bCs/>
                <w:sz w:val="18"/>
                <w:szCs w:val="18"/>
              </w:rPr>
              <w:t>.</w:t>
            </w:r>
            <w:r w:rsidR="00820FC9" w:rsidRPr="003155BE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DC2DB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09AC" w14:textId="40A58F8F" w:rsidR="00F251A9" w:rsidRPr="003155BE" w:rsidRDefault="00F251A9" w:rsidP="00086D1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Did not submit a process flow on how to conduct personnel, event and site risk assessments</w:t>
            </w:r>
            <w:r w:rsidR="00820FC9">
              <w:rPr>
                <w:rFonts w:cs="Arial"/>
                <w:color w:val="000000"/>
                <w:sz w:val="18"/>
                <w:szCs w:val="18"/>
              </w:rPr>
              <w:t>, as well as sample reports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4FB93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8542C69" w14:textId="2A8144E8" w:rsidR="00F251A9" w:rsidRPr="003155BE" w:rsidRDefault="00F251A9" w:rsidP="00086D1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307AD0">
              <w:rPr>
                <w:rFonts w:cs="Arial"/>
                <w:color w:val="000000"/>
                <w:sz w:val="18"/>
                <w:szCs w:val="18"/>
              </w:rPr>
              <w:t>A detailed process flow on conducting risk assessments for sites, events and personnel</w:t>
            </w:r>
            <w:r w:rsidR="00820FC9">
              <w:rPr>
                <w:rFonts w:cs="Arial"/>
                <w:color w:val="000000"/>
                <w:sz w:val="18"/>
                <w:szCs w:val="18"/>
              </w:rPr>
              <w:t>.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820FC9" w:rsidRPr="00820FC9">
              <w:rPr>
                <w:rFonts w:cs="Arial"/>
                <w:bCs/>
                <w:color w:val="000000"/>
                <w:sz w:val="18"/>
                <w:szCs w:val="18"/>
              </w:rPr>
              <w:t>Format to include, but not limited to</w:t>
            </w:r>
            <w:r w:rsidR="00820FC9">
              <w:rPr>
                <w:rFonts w:cs="Arial"/>
                <w:bCs/>
                <w:color w:val="000000"/>
                <w:sz w:val="18"/>
                <w:szCs w:val="18"/>
              </w:rPr>
              <w:t>,</w:t>
            </w:r>
            <w:r w:rsidR="00820FC9" w:rsidRPr="00820FC9">
              <w:rPr>
                <w:rFonts w:cs="Arial"/>
                <w:bCs/>
                <w:color w:val="000000"/>
                <w:sz w:val="18"/>
                <w:szCs w:val="18"/>
              </w:rPr>
              <w:t xml:space="preserve"> the purpose, background, process followed, facility appreciation, findings that include crime statistics for an area, conclusion and recommendations.</w:t>
            </w:r>
            <w:r w:rsidR="00820FC9" w:rsidRPr="00820FC9">
              <w:rPr>
                <w:rFonts w:cs="Arial"/>
                <w:color w:val="000000"/>
                <w:sz w:val="18"/>
                <w:szCs w:val="18"/>
              </w:rPr>
              <w:t xml:space="preserve"> Bidders must provide </w:t>
            </w:r>
            <w:r w:rsidR="00820FC9" w:rsidRPr="00820FC9">
              <w:rPr>
                <w:rFonts w:cs="Arial"/>
                <w:bCs/>
                <w:color w:val="000000"/>
                <w:sz w:val="18"/>
                <w:szCs w:val="18"/>
              </w:rPr>
              <w:t>sample</w:t>
            </w:r>
            <w:r w:rsidR="00820FC9">
              <w:rPr>
                <w:rFonts w:cs="Arial"/>
                <w:bCs/>
                <w:color w:val="000000"/>
                <w:sz w:val="18"/>
                <w:szCs w:val="18"/>
              </w:rPr>
              <w:t>s</w:t>
            </w:r>
            <w:r w:rsidR="00820FC9" w:rsidRPr="00820FC9">
              <w:rPr>
                <w:rFonts w:cs="Arial"/>
                <w:bCs/>
                <w:color w:val="000000"/>
                <w:sz w:val="18"/>
                <w:szCs w:val="18"/>
              </w:rPr>
              <w:t xml:space="preserve"> of a risk assessment report for a site</w:t>
            </w:r>
            <w:r w:rsidR="00820FC9">
              <w:rPr>
                <w:rFonts w:cs="Arial"/>
                <w:bCs/>
                <w:color w:val="000000"/>
                <w:sz w:val="18"/>
                <w:szCs w:val="18"/>
              </w:rPr>
              <w:t>/event, as well as for personnel</w:t>
            </w:r>
            <w:r w:rsidR="00820FC9" w:rsidRPr="00820FC9">
              <w:rPr>
                <w:rFonts w:cs="Arial"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F251A9" w:rsidRPr="003155BE" w14:paraId="420D8CAE" w14:textId="77777777" w:rsidTr="00307AD0">
        <w:trPr>
          <w:trHeight w:val="117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7A64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12CF" w14:textId="77777777" w:rsidR="00F251A9" w:rsidRPr="003155BE" w:rsidRDefault="00F251A9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9026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F2E0" w14:textId="138AAEB8" w:rsidR="00F251A9" w:rsidRPr="003155BE" w:rsidRDefault="00F251A9" w:rsidP="00086D19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Submitted a process flow on how to conduct personnel, event and site risk assessments</w:t>
            </w:r>
            <w:r w:rsidR="00820FC9">
              <w:rPr>
                <w:rFonts w:cs="Arial"/>
                <w:color w:val="000000"/>
                <w:sz w:val="18"/>
                <w:szCs w:val="18"/>
              </w:rPr>
              <w:t>, as well as sample reports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53286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00C88" w14:textId="77777777" w:rsidR="00F251A9" w:rsidRPr="003155BE" w:rsidRDefault="00F251A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251A9" w:rsidRPr="003155BE" w14:paraId="5597C86A" w14:textId="77777777" w:rsidTr="00307AD0">
        <w:trPr>
          <w:trHeight w:val="135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ACFCC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627DC2" w14:textId="0BF56678" w:rsidR="00F251A9" w:rsidRPr="003155BE" w:rsidRDefault="00443EF5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The Bidder must detail the process displaying that its 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Armed, Close Protection and Tactical Response Security Officers undergo medical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and 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psychological assessments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,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as well as 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physical fitness examinations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,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at least once per year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3B3E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0831A" w14:textId="2E831DB1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Not submitted a process detailing medical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psychological assessments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 xml:space="preserve">as well as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physical fitness examinations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at least once per year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26485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757279F" w14:textId="708DDCAC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document detailing the process to 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 xml:space="preserve">display that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Armed, Close Protection and Tactical Response Security Officers undergo medical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 xml:space="preserve"> and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psychological assessments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, as well as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physical fitness examinations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annually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251A9" w:rsidRPr="003155BE" w14:paraId="5D0290A6" w14:textId="77777777" w:rsidTr="00307AD0">
        <w:trPr>
          <w:trHeight w:val="231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0798D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F768" w14:textId="77777777" w:rsidR="00F251A9" w:rsidRPr="003155BE" w:rsidRDefault="00F251A9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1AD0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62B8" w14:textId="73C031AF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Submitted a process detailing medical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psychological assessments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 xml:space="preserve">as well as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physical fitness examinations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at least once per year</w:t>
            </w:r>
            <w:r w:rsidR="008407D8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41FC8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42DEC" w14:textId="77777777" w:rsidR="00F251A9" w:rsidRPr="003155BE" w:rsidRDefault="00F251A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251A9" w:rsidRPr="003155BE" w14:paraId="689F6397" w14:textId="77777777" w:rsidTr="00307AD0">
        <w:trPr>
          <w:trHeight w:val="231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08F2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88012E" w14:textId="6A9AA13E" w:rsidR="00F251A9" w:rsidRPr="003155BE" w:rsidRDefault="00443EF5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D0266D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Bidder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must provide 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a detailed process and procedure to acquire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, issue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and 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re-</w:t>
            </w:r>
            <w:r w:rsidR="00F251A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issue uniforms to its </w:t>
            </w:r>
            <w:r w:rsidR="001D115D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personnel</w:t>
            </w:r>
            <w:r w:rsidR="003E592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236AD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5327" w14:textId="37C03314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Not submitted detailed process and procedure to acquire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, issue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re-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issue uniforms to its </w:t>
            </w:r>
            <w:r w:rsidR="001D115D" w:rsidRPr="003155BE">
              <w:rPr>
                <w:rFonts w:cs="Arial"/>
                <w:color w:val="000000"/>
                <w:sz w:val="18"/>
                <w:szCs w:val="18"/>
              </w:rPr>
              <w:t>personnel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AE3DF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44C0A6" w14:textId="63744E45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documented process and procedures to acquire, issue and re-issue uniforms to its </w:t>
            </w:r>
            <w:r w:rsidR="001D115D" w:rsidRPr="003155BE">
              <w:rPr>
                <w:rFonts w:cs="Arial"/>
                <w:color w:val="000000"/>
                <w:sz w:val="18"/>
                <w:szCs w:val="18"/>
              </w:rPr>
              <w:t>personnel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251A9" w:rsidRPr="003155BE" w14:paraId="33ECF1EC" w14:textId="77777777" w:rsidTr="00307AD0">
        <w:trPr>
          <w:trHeight w:val="231"/>
        </w:trPr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C760B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095238" w14:textId="77777777" w:rsidR="00F251A9" w:rsidRPr="003155BE" w:rsidRDefault="00F251A9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42077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1AD8" w14:textId="0CD67F19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Submitted detailed process and procedure to acquire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, issue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re-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issue uniforms to its </w:t>
            </w:r>
            <w:r w:rsidR="001D115D" w:rsidRPr="003155BE">
              <w:rPr>
                <w:rFonts w:cs="Arial"/>
                <w:color w:val="000000"/>
                <w:sz w:val="18"/>
                <w:szCs w:val="18"/>
              </w:rPr>
              <w:t>personnel.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8B15B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918B538" w14:textId="77777777" w:rsidR="00F251A9" w:rsidRPr="003155BE" w:rsidRDefault="00F251A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E5929" w:rsidRPr="003155BE" w14:paraId="77CA0DDE" w14:textId="77777777" w:rsidTr="005E2213">
        <w:trPr>
          <w:trHeight w:val="150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B6A4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B06521" w14:textId="784F0652" w:rsidR="003E5929" w:rsidRPr="003155BE" w:rsidRDefault="00443EF5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155BE">
              <w:rPr>
                <w:rFonts w:cs="Arial"/>
                <w:b w:val="0"/>
                <w:sz w:val="18"/>
                <w:szCs w:val="18"/>
              </w:rPr>
              <w:t>The</w:t>
            </w:r>
            <w:r w:rsidR="003E5929" w:rsidRPr="003155BE">
              <w:rPr>
                <w:rFonts w:cs="Arial"/>
                <w:b w:val="0"/>
                <w:sz w:val="18"/>
                <w:szCs w:val="18"/>
              </w:rPr>
              <w:t xml:space="preserve"> </w:t>
            </w:r>
            <w:r w:rsidR="003E5929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Bidder </w:t>
            </w:r>
            <w:r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must </w:t>
            </w:r>
            <w:r w:rsidR="003E5929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submit </w:t>
            </w:r>
            <w:r w:rsidR="003C46D3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its </w:t>
            </w:r>
            <w:r w:rsidRPr="003155BE">
              <w:rPr>
                <w:rFonts w:cs="Arial"/>
                <w:b w:val="0"/>
                <w:sz w:val="18"/>
                <w:szCs w:val="18"/>
              </w:rPr>
              <w:t>procedures</w:t>
            </w:r>
            <w:r w:rsidR="003E5929" w:rsidRPr="003155BE">
              <w:rPr>
                <w:rFonts w:cs="Arial"/>
                <w:b w:val="0"/>
                <w:sz w:val="18"/>
                <w:szCs w:val="18"/>
              </w:rPr>
              <w:t xml:space="preserve"> pertaining to </w:t>
            </w:r>
            <w:r w:rsidR="003C46D3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the issuing and re-issuing of </w:t>
            </w:r>
            <w:r w:rsidR="003E5929" w:rsidRPr="003155BE">
              <w:rPr>
                <w:rFonts w:cs="Arial"/>
                <w:b w:val="0"/>
                <w:sz w:val="18"/>
                <w:szCs w:val="18"/>
              </w:rPr>
              <w:t>Personnel Protection Equipment (PPE), including but not limited to bullet resistan</w:t>
            </w:r>
            <w:r w:rsidR="003E5929" w:rsidRPr="003155BE">
              <w:rPr>
                <w:rFonts w:cs="Arial"/>
                <w:b w:val="0"/>
                <w:sz w:val="18"/>
                <w:szCs w:val="18"/>
                <w:lang w:val="en-ZA"/>
              </w:rPr>
              <w:t>t</w:t>
            </w:r>
            <w:r w:rsidR="003E5929" w:rsidRPr="003155BE">
              <w:rPr>
                <w:rFonts w:cs="Arial"/>
                <w:b w:val="0"/>
                <w:sz w:val="18"/>
                <w:szCs w:val="18"/>
              </w:rPr>
              <w:t xml:space="preserve"> jackets</w:t>
            </w:r>
            <w:r w:rsidR="003C46D3" w:rsidRPr="003155BE">
              <w:rPr>
                <w:rFonts w:cs="Arial"/>
                <w:b w:val="0"/>
                <w:sz w:val="18"/>
                <w:szCs w:val="18"/>
                <w:lang w:val="en-ZA"/>
              </w:rPr>
              <w:t xml:space="preserve"> and</w:t>
            </w:r>
            <w:r w:rsidR="003C46D3" w:rsidRPr="003155BE">
              <w:rPr>
                <w:rFonts w:cs="Arial"/>
                <w:b w:val="0"/>
                <w:sz w:val="18"/>
                <w:szCs w:val="18"/>
              </w:rPr>
              <w:t xml:space="preserve"> </w:t>
            </w:r>
            <w:r w:rsidR="003E5929" w:rsidRPr="003155BE">
              <w:rPr>
                <w:rFonts w:cs="Arial"/>
                <w:b w:val="0"/>
                <w:sz w:val="18"/>
                <w:szCs w:val="18"/>
              </w:rPr>
              <w:t>firearm holsters</w:t>
            </w:r>
            <w:r w:rsidR="003E5929" w:rsidRPr="003155BE">
              <w:rPr>
                <w:rFonts w:cs="Arial"/>
                <w:b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47BA1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A4C2" w14:textId="74245517" w:rsidR="003E5929" w:rsidRPr="003155BE" w:rsidRDefault="003E592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Not submitted 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procedures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>pertaining to issuing and re-issuing of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PPE, including but not limited to bullet resistant jackets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firearm holsters.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87513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B60487F" w14:textId="62D60E62" w:rsidR="003E5929" w:rsidRPr="003155BE" w:rsidRDefault="003E592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documented procedure pertaining to </w:t>
            </w:r>
            <w:r w:rsidR="003C46D3" w:rsidRPr="00307AD0">
              <w:rPr>
                <w:rFonts w:cs="Arial"/>
                <w:color w:val="000000"/>
                <w:sz w:val="18"/>
                <w:szCs w:val="18"/>
              </w:rPr>
              <w:t xml:space="preserve">the issuing and re-issuing of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PPE, including but not limited to bullet resistant jackets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firearm holsters.</w:t>
            </w:r>
          </w:p>
        </w:tc>
      </w:tr>
      <w:tr w:rsidR="003E5929" w:rsidRPr="003155BE" w14:paraId="5D92CABA" w14:textId="77777777" w:rsidTr="005E2213">
        <w:trPr>
          <w:trHeight w:val="231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306C5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776A1" w14:textId="77777777" w:rsidR="003E5929" w:rsidRPr="003155BE" w:rsidRDefault="003E5929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EC7C5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9CC5" w14:textId="4F3A8840" w:rsidR="003E5929" w:rsidRPr="003155BE" w:rsidRDefault="003E592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Submitted </w:t>
            </w:r>
            <w:r w:rsidR="00443EF5" w:rsidRPr="003155BE">
              <w:rPr>
                <w:rFonts w:cs="Arial"/>
                <w:color w:val="000000"/>
                <w:sz w:val="18"/>
                <w:szCs w:val="18"/>
              </w:rPr>
              <w:t>procedures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pertaining to 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 xml:space="preserve">issuing and re-issuing of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PPE, including but not limited thereto, bullet resistant jackets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firearm holsters.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500FE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3D86D" w14:textId="77777777" w:rsidR="003E5929" w:rsidRPr="003155BE" w:rsidRDefault="003E592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251A9" w:rsidRPr="003155BE" w14:paraId="00A420B0" w14:textId="77777777" w:rsidTr="00307AD0">
        <w:trPr>
          <w:trHeight w:val="231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82898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A460F" w14:textId="28630FA9" w:rsidR="00F251A9" w:rsidRPr="003155BE" w:rsidRDefault="003C46D3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155BE">
              <w:rPr>
                <w:rFonts w:cs="Arial"/>
                <w:b w:val="0"/>
                <w:sz w:val="18"/>
                <w:szCs w:val="18"/>
                <w:lang w:val="en-US"/>
              </w:rPr>
              <w:t>T</w:t>
            </w:r>
            <w:r w:rsidR="00F251A9" w:rsidRPr="003155BE">
              <w:rPr>
                <w:rFonts w:cs="Arial"/>
                <w:b w:val="0"/>
                <w:sz w:val="18"/>
                <w:szCs w:val="18"/>
                <w:lang w:val="en-US"/>
              </w:rPr>
              <w:t xml:space="preserve">he </w:t>
            </w:r>
            <w:r w:rsidR="003729FC" w:rsidRPr="003155BE">
              <w:rPr>
                <w:rFonts w:cs="Arial"/>
                <w:b w:val="0"/>
                <w:sz w:val="18"/>
                <w:szCs w:val="18"/>
                <w:lang w:val="en-US"/>
              </w:rPr>
              <w:t>Bidder</w:t>
            </w:r>
            <w:r w:rsidR="00F251A9" w:rsidRPr="003155BE">
              <w:rPr>
                <w:rFonts w:cs="Arial"/>
                <w:b w:val="0"/>
                <w:sz w:val="18"/>
                <w:szCs w:val="18"/>
                <w:lang w:val="en-US"/>
              </w:rPr>
              <w:t xml:space="preserve"> </w:t>
            </w:r>
            <w:r w:rsidRPr="003155BE">
              <w:rPr>
                <w:rFonts w:cs="Arial"/>
                <w:b w:val="0"/>
                <w:sz w:val="18"/>
                <w:szCs w:val="18"/>
                <w:lang w:val="en-US"/>
              </w:rPr>
              <w:t xml:space="preserve">must demonstrate that it has </w:t>
            </w:r>
            <w:r w:rsidR="00F251A9" w:rsidRPr="003155BE">
              <w:rPr>
                <w:rFonts w:cs="Arial"/>
                <w:b w:val="0"/>
                <w:sz w:val="18"/>
                <w:szCs w:val="18"/>
                <w:lang w:val="en-US"/>
              </w:rPr>
              <w:t>access to a certified shooting range approved in line with SABS and the Firearms Control Act, 2000 (Act No. 60 of 2000)</w:t>
            </w:r>
            <w:r w:rsidR="00E117B1" w:rsidRPr="003155BE">
              <w:rPr>
                <w:rFonts w:cs="Arial"/>
                <w:b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6412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F056" w14:textId="77777777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Not submitted a Memorandum of Understanding or contract which indicates access to a certified shooting range approved in line with SABS and the Firearms Control Act, 2000 (Act No. 60 of 2000)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DFF5D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5A70BF" w14:textId="7B5C9810" w:rsidR="00F251A9" w:rsidRPr="003155BE" w:rsidRDefault="00F251A9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A Memorandum of Understanding or contract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>which indicates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 xml:space="preserve">that the Bidder has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access to a certified shooting range approved in line with SABS and the Firearms Control Act, 2000 (Act No. 60 of 2000)</w:t>
            </w:r>
            <w:r w:rsidR="003E5929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251A9" w:rsidRPr="003155BE" w14:paraId="41F34ED7" w14:textId="77777777" w:rsidTr="00307AD0">
        <w:trPr>
          <w:trHeight w:val="231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6B67D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95E1" w14:textId="77777777" w:rsidR="00F251A9" w:rsidRPr="003155BE" w:rsidRDefault="00F251A9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9AE1E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A118" w14:textId="77777777" w:rsidR="00F251A9" w:rsidRPr="003155BE" w:rsidRDefault="00F251A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Submitted</w:t>
            </w:r>
            <w:r w:rsidRPr="003155BE">
              <w:rPr>
                <w:rFonts w:cs="Arial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a Memorandum of Understanding or contract which indicates access to a certified shooting range approved in line with SABS and the Firearms Control Act, 2000 (Act No. 60 of 2000)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5FAA6" w14:textId="77777777" w:rsidR="00F251A9" w:rsidRPr="003155BE" w:rsidRDefault="00F251A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D7F8E" w14:textId="77777777" w:rsidR="00F251A9" w:rsidRPr="003155BE" w:rsidRDefault="00F251A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729FC" w:rsidRPr="003155BE" w14:paraId="3831B1D7" w14:textId="77777777" w:rsidTr="00307AD0">
        <w:trPr>
          <w:trHeight w:val="285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46972" w14:textId="77777777" w:rsidR="003729FC" w:rsidRPr="003155BE" w:rsidRDefault="003729FC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EDFE00" w14:textId="2A429D91" w:rsidR="003729FC" w:rsidRPr="003155BE" w:rsidRDefault="003C46D3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</w:t>
            </w:r>
            <w:r w:rsidR="003729FC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e Bidder </w:t>
            </w:r>
            <w:r w:rsid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must </w:t>
            </w:r>
            <w:r w:rsidR="003729FC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submit a training plan or procedure to qualify and re-qualify its</w:t>
            </w:r>
            <w:r w:rsidR="003729FC" w:rsidRPr="003155BE">
              <w:rPr>
                <w:rFonts w:cs="Arial"/>
              </w:rPr>
              <w:t xml:space="preserve"> </w:t>
            </w:r>
            <w:r w:rsidR="003729FC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Armed, Close Protection and Tactical Response Security Officers in terms of the Firearms Control Act, 2000 (Act No. 60 of 2000)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619B2" w14:textId="77777777" w:rsidR="003729FC" w:rsidRPr="003155BE" w:rsidRDefault="003729FC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9761" w14:textId="1F92C5CB" w:rsidR="003729FC" w:rsidRPr="003155BE" w:rsidRDefault="003729FC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Not submitted</w:t>
            </w:r>
            <w:r w:rsidR="003155BE">
              <w:rPr>
                <w:rFonts w:cs="Arial"/>
                <w:color w:val="000000"/>
                <w:sz w:val="18"/>
                <w:szCs w:val="18"/>
              </w:rPr>
              <w:t xml:space="preserve"> a training plan and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certificate(s) of trainers</w:t>
            </w:r>
            <w:r w:rsidR="003155BE">
              <w:rPr>
                <w:rFonts w:cs="Arial"/>
                <w:color w:val="000000"/>
                <w:sz w:val="18"/>
                <w:szCs w:val="18"/>
              </w:rPr>
              <w:t>,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who are qualified in terms of the Firearms Control Act, 2000 (Act No. 60 of 2000)</w:t>
            </w:r>
            <w:r w:rsid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05CA7" w14:textId="77777777" w:rsidR="003729FC" w:rsidRPr="003155BE" w:rsidRDefault="003729FC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DF2240" w14:textId="58A391FA" w:rsidR="003729FC" w:rsidRPr="003155BE" w:rsidRDefault="003729FC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An approved training plan </w:t>
            </w:r>
            <w:r w:rsidR="003155BE" w:rsidRPr="003155BE">
              <w:rPr>
                <w:rFonts w:cs="Arial"/>
                <w:color w:val="000000"/>
                <w:sz w:val="18"/>
                <w:szCs w:val="18"/>
              </w:rPr>
              <w:t>and</w:t>
            </w:r>
            <w:r w:rsidR="003155BE">
              <w:rPr>
                <w:rFonts w:cs="Arial"/>
                <w:color w:val="000000"/>
                <w:sz w:val="18"/>
                <w:szCs w:val="18"/>
              </w:rPr>
              <w:t>/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or procedure to qualify and re-qualify its Armed, Close Protection and Tactical Response </w:t>
            </w:r>
            <w:r w:rsidR="003155BE">
              <w:rPr>
                <w:rFonts w:cs="Arial"/>
                <w:color w:val="000000"/>
                <w:sz w:val="18"/>
                <w:szCs w:val="18"/>
              </w:rPr>
              <w:t xml:space="preserve">Security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Officers</w:t>
            </w:r>
            <w:r w:rsidR="00A05C22">
              <w:rPr>
                <w:rFonts w:cs="Arial"/>
                <w:color w:val="000000"/>
                <w:sz w:val="18"/>
                <w:szCs w:val="18"/>
              </w:rPr>
              <w:t>, as well as certificates of qualified firearm trainers</w:t>
            </w:r>
            <w:r w:rsid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729FC" w:rsidRPr="003155BE" w14:paraId="1B1C1FFE" w14:textId="77777777" w:rsidTr="00307AD0">
        <w:trPr>
          <w:trHeight w:val="282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4E9C" w14:textId="77777777" w:rsidR="003729FC" w:rsidRPr="003155BE" w:rsidRDefault="003729FC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97C8" w14:textId="77777777" w:rsidR="003729FC" w:rsidRPr="003155BE" w:rsidRDefault="003729FC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96B7" w14:textId="77777777" w:rsidR="003729FC" w:rsidRPr="003155BE" w:rsidRDefault="003729FC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5DA1F" w14:textId="0899A639" w:rsidR="003729FC" w:rsidRPr="003155BE" w:rsidRDefault="003729FC" w:rsidP="003155BE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3155BE">
              <w:rPr>
                <w:rFonts w:cs="Arial"/>
                <w:sz w:val="18"/>
                <w:szCs w:val="18"/>
              </w:rPr>
              <w:t>Submitted</w:t>
            </w:r>
            <w:r w:rsidR="003155BE">
              <w:rPr>
                <w:rFonts w:cs="Arial"/>
                <w:sz w:val="18"/>
                <w:szCs w:val="18"/>
              </w:rPr>
              <w:t xml:space="preserve"> a training plan and</w:t>
            </w:r>
            <w:r w:rsidRPr="003155BE">
              <w:rPr>
                <w:rFonts w:cs="Arial"/>
                <w:sz w:val="18"/>
                <w:szCs w:val="18"/>
              </w:rPr>
              <w:t xml:space="preserve"> certificate(s) of trainers</w:t>
            </w:r>
            <w:r w:rsidR="003155BE">
              <w:rPr>
                <w:rFonts w:cs="Arial"/>
                <w:sz w:val="18"/>
                <w:szCs w:val="18"/>
              </w:rPr>
              <w:t>,</w:t>
            </w:r>
            <w:r w:rsidRPr="003155BE">
              <w:rPr>
                <w:rFonts w:cs="Arial"/>
                <w:sz w:val="18"/>
                <w:szCs w:val="18"/>
              </w:rPr>
              <w:t xml:space="preserve"> who are qualified in terms of the Firearms Control Act, 2000 (Act No. 60 of 2000)</w:t>
            </w:r>
            <w:r w:rsidR="003155BE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DC9FB" w14:textId="77777777" w:rsidR="003729FC" w:rsidRPr="003155BE" w:rsidRDefault="003729FC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A592E" w14:textId="77777777" w:rsidR="003729FC" w:rsidRPr="003155BE" w:rsidRDefault="003729FC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46637" w:rsidRPr="003155BE" w14:paraId="40052C5D" w14:textId="77777777" w:rsidTr="00307AD0">
        <w:trPr>
          <w:trHeight w:val="300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40481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3.10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2D894E" w14:textId="6167F683" w:rsidR="00546637" w:rsidRPr="003155BE" w:rsidRDefault="003C46D3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546637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3729FC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Bidder</w:t>
            </w:r>
            <w:r w:rsidR="00546637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must detail its</w:t>
            </w:r>
            <w:r w:rsidR="003155BE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disciplinary</w:t>
            </w:r>
            <w:r w:rsidR="00546637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procedures</w:t>
            </w:r>
            <w:r w:rsid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3155BE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(disciplinary, appeal and dismissal processes) </w:t>
            </w:r>
            <w:r w:rsidR="00546637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to address unacceptable behaviour </w:t>
            </w:r>
            <w:r w:rsidR="005741FB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of </w:t>
            </w:r>
            <w:r w:rsid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its </w:t>
            </w:r>
            <w:r w:rsidR="005741FB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Security Officers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30E8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F744" w14:textId="45A09B74" w:rsidR="00546637" w:rsidRPr="003155BE" w:rsidRDefault="00546637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Not submitted </w:t>
            </w:r>
            <w:r w:rsidR="003155BE" w:rsidRPr="003155BE">
              <w:rPr>
                <w:rFonts w:cs="Arial"/>
                <w:color w:val="000000"/>
                <w:sz w:val="18"/>
                <w:szCs w:val="18"/>
              </w:rPr>
              <w:t xml:space="preserve">disciplinary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procedures</w:t>
            </w:r>
            <w:r w:rsid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155BE" w:rsidRPr="003155BE">
              <w:rPr>
                <w:rFonts w:cs="Arial"/>
                <w:color w:val="000000"/>
                <w:sz w:val="18"/>
                <w:szCs w:val="18"/>
              </w:rPr>
              <w:t>(disciplinary, appeal and dismissal processes) that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address </w:t>
            </w:r>
            <w:r w:rsidR="003155BE" w:rsidRPr="003155BE">
              <w:rPr>
                <w:rFonts w:cs="Arial"/>
                <w:color w:val="000000"/>
                <w:sz w:val="18"/>
                <w:szCs w:val="18"/>
              </w:rPr>
              <w:t xml:space="preserve">unacceptable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behaviour </w:t>
            </w:r>
            <w:r w:rsidR="005741FB" w:rsidRPr="003155BE">
              <w:rPr>
                <w:rFonts w:cs="Arial"/>
                <w:bCs/>
                <w:sz w:val="18"/>
                <w:szCs w:val="18"/>
              </w:rPr>
              <w:t xml:space="preserve">of </w:t>
            </w:r>
            <w:r w:rsidR="003155BE">
              <w:rPr>
                <w:rFonts w:cs="Arial"/>
                <w:bCs/>
                <w:sz w:val="18"/>
                <w:szCs w:val="18"/>
              </w:rPr>
              <w:t xml:space="preserve">its </w:t>
            </w:r>
            <w:r w:rsidR="005741FB" w:rsidRPr="003155BE">
              <w:rPr>
                <w:rFonts w:cs="Arial"/>
                <w:bCs/>
                <w:sz w:val="18"/>
                <w:szCs w:val="18"/>
              </w:rPr>
              <w:t>Security Officers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BD461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D8F5D90" w14:textId="6F1B6882" w:rsidR="00546637" w:rsidRPr="003155BE" w:rsidRDefault="00546637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="003155BE" w:rsidRPr="003155BE">
              <w:rPr>
                <w:rFonts w:cs="Arial"/>
                <w:color w:val="000000"/>
                <w:sz w:val="18"/>
                <w:szCs w:val="18"/>
              </w:rPr>
              <w:t>disciplinary procedures (disciplinary, appeal and dismissal processes)</w:t>
            </w:r>
            <w:r w:rsidR="003155BE" w:rsidRPr="003155BE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to address unacceptable behaviour </w:t>
            </w:r>
            <w:r w:rsidR="005741FB" w:rsidRPr="003155BE">
              <w:rPr>
                <w:rFonts w:cs="Arial"/>
                <w:bCs/>
                <w:sz w:val="18"/>
                <w:szCs w:val="18"/>
              </w:rPr>
              <w:t>of</w:t>
            </w:r>
            <w:r w:rsidR="003155BE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3155BE">
              <w:rPr>
                <w:rFonts w:cs="Arial"/>
                <w:color w:val="000000"/>
                <w:sz w:val="18"/>
                <w:szCs w:val="18"/>
              </w:rPr>
              <w:t>its</w:t>
            </w:r>
            <w:r w:rsidR="003155BE" w:rsidRPr="003155BE" w:rsidDel="003155BE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5741FB" w:rsidRPr="003155BE">
              <w:rPr>
                <w:rFonts w:cs="Arial"/>
                <w:bCs/>
                <w:sz w:val="18"/>
                <w:szCs w:val="18"/>
              </w:rPr>
              <w:t>Security Officers</w:t>
            </w:r>
            <w:r w:rsidR="003155BE">
              <w:rPr>
                <w:rFonts w:cs="Arial"/>
                <w:sz w:val="18"/>
                <w:szCs w:val="18"/>
              </w:rPr>
              <w:t>.</w:t>
            </w:r>
          </w:p>
        </w:tc>
      </w:tr>
      <w:tr w:rsidR="00546637" w:rsidRPr="003155BE" w14:paraId="501177AD" w14:textId="77777777" w:rsidTr="00307AD0">
        <w:trPr>
          <w:trHeight w:val="267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3B777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153D" w14:textId="77777777" w:rsidR="00546637" w:rsidRPr="003155BE" w:rsidRDefault="00546637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AA2B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E167" w14:textId="1B621EA3" w:rsidR="00546637" w:rsidRPr="003155BE" w:rsidRDefault="00546637" w:rsidP="00ED4CE9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3155BE">
              <w:rPr>
                <w:rFonts w:cs="Arial"/>
                <w:sz w:val="18"/>
                <w:szCs w:val="18"/>
              </w:rPr>
              <w:t xml:space="preserve">Submitted </w:t>
            </w:r>
            <w:r w:rsidR="003155BE" w:rsidRPr="003155BE">
              <w:rPr>
                <w:rFonts w:cs="Arial"/>
                <w:sz w:val="18"/>
                <w:szCs w:val="18"/>
              </w:rPr>
              <w:t xml:space="preserve">disciplinary </w:t>
            </w:r>
            <w:r w:rsidRPr="003155BE">
              <w:rPr>
                <w:rFonts w:cs="Arial"/>
                <w:sz w:val="18"/>
                <w:szCs w:val="18"/>
              </w:rPr>
              <w:t>procedures</w:t>
            </w:r>
            <w:r w:rsidR="003155BE">
              <w:rPr>
                <w:rFonts w:cs="Arial"/>
                <w:sz w:val="18"/>
                <w:szCs w:val="18"/>
              </w:rPr>
              <w:t xml:space="preserve"> </w:t>
            </w:r>
            <w:r w:rsidR="003155BE" w:rsidRPr="003155BE">
              <w:rPr>
                <w:rFonts w:cs="Arial"/>
                <w:sz w:val="18"/>
                <w:szCs w:val="18"/>
              </w:rPr>
              <w:t>(disciplinary, appeal and dismissal processes)</w:t>
            </w:r>
            <w:r w:rsidRPr="003155BE">
              <w:rPr>
                <w:rFonts w:cs="Arial"/>
                <w:sz w:val="18"/>
                <w:szCs w:val="18"/>
              </w:rPr>
              <w:t xml:space="preserve"> that address </w:t>
            </w:r>
            <w:r w:rsidR="003155BE" w:rsidRPr="003155BE">
              <w:rPr>
                <w:rFonts w:cs="Arial"/>
                <w:sz w:val="18"/>
                <w:szCs w:val="18"/>
              </w:rPr>
              <w:t xml:space="preserve">unacceptable </w:t>
            </w:r>
            <w:r w:rsidRPr="003155BE">
              <w:rPr>
                <w:rFonts w:cs="Arial"/>
                <w:sz w:val="18"/>
                <w:szCs w:val="18"/>
              </w:rPr>
              <w:t>behaviour</w:t>
            </w:r>
            <w:r w:rsidR="005741FB" w:rsidRPr="003155BE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5741FB" w:rsidRPr="003155BE">
              <w:rPr>
                <w:rFonts w:cs="Arial"/>
                <w:bCs/>
                <w:sz w:val="18"/>
                <w:szCs w:val="18"/>
              </w:rPr>
              <w:t xml:space="preserve">of </w:t>
            </w:r>
            <w:r w:rsidR="003155BE">
              <w:rPr>
                <w:rFonts w:cs="Arial"/>
                <w:bCs/>
                <w:sz w:val="18"/>
                <w:szCs w:val="18"/>
              </w:rPr>
              <w:t xml:space="preserve">its </w:t>
            </w:r>
            <w:r w:rsidR="005741FB" w:rsidRPr="003155BE">
              <w:rPr>
                <w:rFonts w:cs="Arial"/>
                <w:bCs/>
                <w:sz w:val="18"/>
                <w:szCs w:val="18"/>
              </w:rPr>
              <w:t>Security Officers</w:t>
            </w:r>
            <w:r w:rsidR="003C46D3" w:rsidRPr="003155BE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D0596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C04D0" w14:textId="77777777" w:rsidR="00546637" w:rsidRPr="003155BE" w:rsidRDefault="00546637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46637" w:rsidRPr="003155BE" w14:paraId="43F04292" w14:textId="77777777" w:rsidTr="00307AD0">
        <w:trPr>
          <w:trHeight w:val="267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1910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3.11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B36642" w14:textId="39630C0B" w:rsidR="00546637" w:rsidRPr="003155BE" w:rsidRDefault="003C46D3" w:rsidP="00ED4CE9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546637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3729FC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Bidder </w:t>
            </w:r>
            <w:r w:rsidR="00ED4CE9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must describe the</w:t>
            </w:r>
            <w:r w:rsidR="00546637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management structure to support the </w:t>
            </w:r>
            <w:r w:rsidR="00ED4CE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Service</w:t>
            </w:r>
            <w:r w:rsidR="00ED4CE9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 to SARS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  <w:r w:rsidR="00546637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DDF3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834C" w14:textId="27D1E581" w:rsidR="00546637" w:rsidRPr="003155BE" w:rsidRDefault="00546637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Not submitted</w:t>
            </w:r>
            <w:r w:rsidRPr="003155BE">
              <w:rPr>
                <w:rFonts w:cs="Arial"/>
                <w:sz w:val="18"/>
                <w:szCs w:val="18"/>
              </w:rPr>
              <w:t xml:space="preserve">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management structure to support the </w:t>
            </w:r>
            <w:r w:rsidR="00ED4CE9" w:rsidRPr="003155BE">
              <w:rPr>
                <w:rFonts w:cs="Arial"/>
                <w:color w:val="000000"/>
                <w:sz w:val="18"/>
                <w:szCs w:val="18"/>
              </w:rPr>
              <w:t>Service</w:t>
            </w:r>
            <w:r w:rsidR="00ED4CE9">
              <w:rPr>
                <w:rFonts w:cs="Arial"/>
                <w:color w:val="000000"/>
                <w:sz w:val="18"/>
                <w:szCs w:val="18"/>
              </w:rPr>
              <w:t>s</w:t>
            </w:r>
            <w:r w:rsidR="003C46D3" w:rsidRPr="003155BE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2FA82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7D14FD4" w14:textId="4D0C81CB" w:rsidR="00546637" w:rsidRPr="003155BE" w:rsidRDefault="00ED4CE9" w:rsidP="00307AD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Description of the </w:t>
            </w:r>
            <w:r w:rsidR="00546637" w:rsidRPr="003155BE">
              <w:rPr>
                <w:rFonts w:cs="Arial"/>
                <w:color w:val="000000"/>
                <w:sz w:val="18"/>
                <w:szCs w:val="18"/>
              </w:rPr>
              <w:t>Bidder’s management structure</w:t>
            </w:r>
            <w:r w:rsidRPr="00ED4CE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307AD0">
              <w:rPr>
                <w:rFonts w:cs="Arial"/>
                <w:bCs/>
                <w:color w:val="000000"/>
                <w:sz w:val="18"/>
                <w:szCs w:val="18"/>
              </w:rPr>
              <w:t>to support the Services to SARS.</w:t>
            </w:r>
          </w:p>
        </w:tc>
      </w:tr>
      <w:tr w:rsidR="00546637" w:rsidRPr="003155BE" w14:paraId="4C8C846D" w14:textId="77777777" w:rsidTr="00307AD0">
        <w:trPr>
          <w:trHeight w:val="300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AA9C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1F21" w14:textId="77777777" w:rsidR="00546637" w:rsidRPr="003155BE" w:rsidRDefault="00546637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0398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8016" w14:textId="73DC20EF" w:rsidR="00546637" w:rsidRPr="003155BE" w:rsidRDefault="00546637" w:rsidP="003155BE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3155BE">
              <w:rPr>
                <w:rFonts w:cs="Arial"/>
                <w:sz w:val="18"/>
                <w:szCs w:val="18"/>
              </w:rPr>
              <w:t xml:space="preserve">Submitted management structure to support the </w:t>
            </w:r>
            <w:r w:rsidR="00ED4CE9" w:rsidRPr="003155BE">
              <w:rPr>
                <w:rFonts w:cs="Arial"/>
                <w:sz w:val="18"/>
                <w:szCs w:val="18"/>
              </w:rPr>
              <w:t>Service</w:t>
            </w:r>
            <w:r w:rsidR="00ED4CE9">
              <w:rPr>
                <w:rFonts w:cs="Arial"/>
                <w:sz w:val="18"/>
                <w:szCs w:val="18"/>
              </w:rPr>
              <w:t>s</w:t>
            </w:r>
            <w:r w:rsidR="003C46D3" w:rsidRPr="003155BE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7A9BA" w14:textId="77777777" w:rsidR="00546637" w:rsidRPr="003155BE" w:rsidRDefault="00546637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72754" w14:textId="77777777" w:rsidR="00546637" w:rsidRPr="003155BE" w:rsidRDefault="00546637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E5929" w:rsidRPr="003155BE" w14:paraId="0D2D4E68" w14:textId="77777777" w:rsidTr="005E2213">
        <w:trPr>
          <w:trHeight w:val="147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12B4E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3.12</w:t>
            </w:r>
          </w:p>
        </w:tc>
        <w:tc>
          <w:tcPr>
            <w:tcW w:w="6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A723C8" w14:textId="28B861EF" w:rsidR="003E5929" w:rsidRPr="003155BE" w:rsidRDefault="003C46D3" w:rsidP="00ED4CE9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3E592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Bidder </w:t>
            </w:r>
            <w:r w:rsidR="00ED4CE9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must indicate a</w:t>
            </w:r>
            <w:r w:rsidR="00ED4CE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="003E592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clear escalation procedure between SARS, its employees, its control room and management, including </w:t>
            </w:r>
            <w:r w:rsidR="003155BE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reporting of Security </w:t>
            </w:r>
            <w:r w:rsidR="003E5929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Incidents</w:t>
            </w:r>
            <w:r w:rsidR="003155BE"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and Emergencies</w:t>
            </w:r>
            <w:r w:rsidRPr="003155BE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47E56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5213" w14:textId="27527167" w:rsidR="003E5929" w:rsidRPr="003155BE" w:rsidRDefault="003E5929" w:rsidP="003155BE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3155BE">
              <w:rPr>
                <w:rFonts w:cs="Arial"/>
                <w:sz w:val="18"/>
                <w:szCs w:val="18"/>
              </w:rPr>
              <w:t xml:space="preserve">Not submitted </w:t>
            </w:r>
            <w:r w:rsidR="00ED4CE9">
              <w:rPr>
                <w:rFonts w:cs="Arial"/>
                <w:sz w:val="18"/>
                <w:szCs w:val="18"/>
              </w:rPr>
              <w:t xml:space="preserve">a </w:t>
            </w:r>
            <w:r w:rsidRPr="003155BE">
              <w:rPr>
                <w:rFonts w:cs="Arial"/>
                <w:sz w:val="18"/>
                <w:szCs w:val="18"/>
              </w:rPr>
              <w:t xml:space="preserve">clear escalation procedure between SARS, its employees, its control room and management, including </w:t>
            </w:r>
            <w:r w:rsidR="003C46D3" w:rsidRPr="003155BE">
              <w:rPr>
                <w:rFonts w:cs="Arial"/>
                <w:sz w:val="18"/>
                <w:szCs w:val="18"/>
              </w:rPr>
              <w:t xml:space="preserve">reporting of Security </w:t>
            </w:r>
            <w:r w:rsidRPr="003155BE">
              <w:rPr>
                <w:rFonts w:cs="Arial"/>
                <w:sz w:val="18"/>
                <w:szCs w:val="18"/>
              </w:rPr>
              <w:t>Incidents</w:t>
            </w:r>
            <w:r w:rsidR="003C46D3" w:rsidRPr="003155BE">
              <w:rPr>
                <w:rFonts w:cs="Arial"/>
                <w:sz w:val="18"/>
                <w:szCs w:val="18"/>
              </w:rPr>
              <w:t xml:space="preserve"> and Emergencies.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CA2E2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F4174DD" w14:textId="3332B576" w:rsidR="003E5929" w:rsidRPr="003155BE" w:rsidRDefault="003E5929" w:rsidP="003155BE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A clear escalation procedure between SARS, its employees, its control room and management, including</w:t>
            </w:r>
            <w:r w:rsidR="003155BE" w:rsidRPr="003155BE">
              <w:rPr>
                <w:rFonts w:cs="Arial"/>
                <w:color w:val="000000"/>
                <w:sz w:val="18"/>
                <w:szCs w:val="18"/>
              </w:rPr>
              <w:t xml:space="preserve"> reporting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155BE" w:rsidRPr="003155BE">
              <w:rPr>
                <w:rFonts w:cs="Arial"/>
                <w:color w:val="000000"/>
                <w:sz w:val="18"/>
                <w:szCs w:val="18"/>
              </w:rPr>
              <w:t xml:space="preserve">of Security </w:t>
            </w:r>
            <w:r w:rsidRPr="003155BE">
              <w:rPr>
                <w:rFonts w:cs="Arial"/>
                <w:color w:val="000000"/>
                <w:sz w:val="18"/>
                <w:szCs w:val="18"/>
              </w:rPr>
              <w:t>Incidents</w:t>
            </w:r>
            <w:r w:rsidR="003155BE" w:rsidRPr="003155BE">
              <w:rPr>
                <w:rFonts w:cs="Arial"/>
                <w:color w:val="000000"/>
                <w:sz w:val="18"/>
                <w:szCs w:val="18"/>
              </w:rPr>
              <w:t xml:space="preserve"> and Emergencies.</w:t>
            </w:r>
          </w:p>
        </w:tc>
      </w:tr>
      <w:tr w:rsidR="003E5929" w:rsidRPr="003155BE" w14:paraId="3E9132BF" w14:textId="77777777" w:rsidTr="005E2213">
        <w:trPr>
          <w:trHeight w:val="51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92AC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8E61" w14:textId="77777777" w:rsidR="003E5929" w:rsidRPr="003155BE" w:rsidRDefault="003E5929" w:rsidP="003155BE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AD411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645D4" w14:textId="27F5180D" w:rsidR="003E5929" w:rsidRPr="003155BE" w:rsidRDefault="003E5929" w:rsidP="003155BE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  <w:lang w:eastAsia="x-none"/>
              </w:rPr>
            </w:pPr>
            <w:r w:rsidRPr="003155BE">
              <w:rPr>
                <w:rFonts w:cs="Arial"/>
                <w:sz w:val="18"/>
                <w:szCs w:val="18"/>
                <w:lang w:eastAsia="x-none"/>
              </w:rPr>
              <w:t>Submitted</w:t>
            </w:r>
            <w:r w:rsidRPr="003155BE">
              <w:rPr>
                <w:rFonts w:cs="Arial"/>
                <w:sz w:val="18"/>
                <w:szCs w:val="18"/>
              </w:rPr>
              <w:t xml:space="preserve"> </w:t>
            </w:r>
            <w:r w:rsidR="00ED4CE9">
              <w:rPr>
                <w:rFonts w:cs="Arial"/>
                <w:sz w:val="18"/>
                <w:szCs w:val="18"/>
              </w:rPr>
              <w:t xml:space="preserve">a </w:t>
            </w:r>
            <w:r w:rsidRPr="003155BE">
              <w:rPr>
                <w:rFonts w:cs="Arial"/>
                <w:sz w:val="18"/>
                <w:szCs w:val="18"/>
                <w:lang w:eastAsia="x-none"/>
              </w:rPr>
              <w:t xml:space="preserve">clear escalation procedure between SARS, its employees, its control room and management, including </w:t>
            </w:r>
            <w:r w:rsidR="003C46D3" w:rsidRPr="003155BE">
              <w:rPr>
                <w:rFonts w:cs="Arial"/>
                <w:sz w:val="18"/>
                <w:szCs w:val="18"/>
                <w:lang w:eastAsia="x-none"/>
              </w:rPr>
              <w:t xml:space="preserve">reporting </w:t>
            </w:r>
            <w:r w:rsidR="003155BE" w:rsidRPr="003155BE">
              <w:rPr>
                <w:rFonts w:cs="Arial"/>
                <w:sz w:val="18"/>
                <w:szCs w:val="18"/>
                <w:lang w:eastAsia="x-none"/>
              </w:rPr>
              <w:t xml:space="preserve">of Security </w:t>
            </w:r>
            <w:r w:rsidRPr="003155BE">
              <w:rPr>
                <w:rFonts w:cs="Arial"/>
                <w:sz w:val="18"/>
                <w:szCs w:val="18"/>
                <w:lang w:eastAsia="x-none"/>
              </w:rPr>
              <w:t>Incidents</w:t>
            </w:r>
            <w:r w:rsidR="003155BE" w:rsidRPr="003155BE">
              <w:rPr>
                <w:rFonts w:cs="Arial"/>
                <w:sz w:val="18"/>
                <w:szCs w:val="18"/>
                <w:lang w:eastAsia="x-none"/>
              </w:rPr>
              <w:t xml:space="preserve"> and Emergencies</w:t>
            </w:r>
            <w:r w:rsidR="003C46D3" w:rsidRPr="003155BE">
              <w:rPr>
                <w:rFonts w:cs="Arial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18B97" w14:textId="77777777" w:rsidR="003E5929" w:rsidRPr="003155BE" w:rsidRDefault="003E5929" w:rsidP="003155BE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5BE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4F4D3" w14:textId="77777777" w:rsidR="003E5929" w:rsidRPr="003155BE" w:rsidRDefault="003E5929" w:rsidP="00013C75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63549909" w14:textId="77777777" w:rsidR="00D32BAD" w:rsidRPr="003155BE" w:rsidRDefault="00D32BAD" w:rsidP="003155BE">
      <w:pPr>
        <w:widowControl w:val="0"/>
        <w:spacing w:line="276" w:lineRule="auto"/>
        <w:rPr>
          <w:rFonts w:cs="Arial"/>
          <w:sz w:val="18"/>
          <w:szCs w:val="18"/>
        </w:rPr>
      </w:pPr>
    </w:p>
    <w:p w14:paraId="3F7FCB55" w14:textId="77777777" w:rsidR="00450FE0" w:rsidRPr="003155BE" w:rsidRDefault="00450FE0" w:rsidP="003155BE">
      <w:pPr>
        <w:widowControl w:val="0"/>
        <w:spacing w:line="276" w:lineRule="auto"/>
        <w:rPr>
          <w:rFonts w:cs="Arial"/>
          <w:sz w:val="18"/>
          <w:szCs w:val="18"/>
        </w:rPr>
      </w:pPr>
    </w:p>
    <w:sectPr w:rsidR="00450FE0" w:rsidRPr="003155BE" w:rsidSect="000E5F38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16620" w14:textId="77777777" w:rsidR="00484401" w:rsidRDefault="00484401" w:rsidP="00690315">
      <w:r>
        <w:separator/>
      </w:r>
    </w:p>
  </w:endnote>
  <w:endnote w:type="continuationSeparator" w:id="0">
    <w:p w14:paraId="2C2DB737" w14:textId="77777777" w:rsidR="00484401" w:rsidRDefault="00484401" w:rsidP="0069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39033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04EB6A" w14:textId="3C9DC1C1" w:rsidR="003155BE" w:rsidRDefault="003155B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055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055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C804B9" w14:textId="77777777" w:rsidR="003155BE" w:rsidRDefault="003155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B3449" w14:textId="77777777" w:rsidR="00484401" w:rsidRDefault="00484401" w:rsidP="00690315">
      <w:r>
        <w:separator/>
      </w:r>
    </w:p>
  </w:footnote>
  <w:footnote w:type="continuationSeparator" w:id="0">
    <w:p w14:paraId="05D08C96" w14:textId="77777777" w:rsidR="00484401" w:rsidRDefault="00484401" w:rsidP="00690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9EC"/>
    <w:multiLevelType w:val="hybridMultilevel"/>
    <w:tmpl w:val="01708C9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C65D4"/>
    <w:multiLevelType w:val="hybridMultilevel"/>
    <w:tmpl w:val="CFBE45CC"/>
    <w:lvl w:ilvl="0" w:tplc="ADD8BAAC">
      <w:start w:val="2"/>
      <w:numFmt w:val="bullet"/>
      <w:lvlText w:val="-"/>
      <w:lvlJc w:val="left"/>
      <w:pPr>
        <w:ind w:left="5889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2" w15:restartNumberingAfterBreak="0">
    <w:nsid w:val="1184331D"/>
    <w:multiLevelType w:val="hybridMultilevel"/>
    <w:tmpl w:val="69C643D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C77F7"/>
    <w:multiLevelType w:val="hybridMultilevel"/>
    <w:tmpl w:val="64FC99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204F0"/>
    <w:multiLevelType w:val="hybridMultilevel"/>
    <w:tmpl w:val="AB22A208"/>
    <w:lvl w:ilvl="0" w:tplc="1C09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30811397"/>
    <w:multiLevelType w:val="hybridMultilevel"/>
    <w:tmpl w:val="7B84ED50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974E7"/>
    <w:multiLevelType w:val="hybridMultilevel"/>
    <w:tmpl w:val="45FC2D72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71286"/>
    <w:multiLevelType w:val="hybridMultilevel"/>
    <w:tmpl w:val="C8002A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B72D2"/>
    <w:multiLevelType w:val="hybridMultilevel"/>
    <w:tmpl w:val="7ABCF420"/>
    <w:lvl w:ilvl="0" w:tplc="1C090009">
      <w:start w:val="1"/>
      <w:numFmt w:val="bullet"/>
      <w:lvlText w:val=""/>
      <w:lvlJc w:val="left"/>
      <w:pPr>
        <w:ind w:left="988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9" w15:restartNumberingAfterBreak="0">
    <w:nsid w:val="4EA844B0"/>
    <w:multiLevelType w:val="hybridMultilevel"/>
    <w:tmpl w:val="2A08C2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10" w15:restartNumberingAfterBreak="0">
    <w:nsid w:val="517F43A1"/>
    <w:multiLevelType w:val="hybridMultilevel"/>
    <w:tmpl w:val="55CCE3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104E7"/>
    <w:multiLevelType w:val="multilevel"/>
    <w:tmpl w:val="1326DF40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680" w:hanging="1080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BBA4331"/>
    <w:multiLevelType w:val="hybridMultilevel"/>
    <w:tmpl w:val="D3F63E8E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22BBF"/>
    <w:multiLevelType w:val="hybridMultilevel"/>
    <w:tmpl w:val="B70836D4"/>
    <w:lvl w:ilvl="0" w:tplc="CC3494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7017D"/>
    <w:multiLevelType w:val="multilevel"/>
    <w:tmpl w:val="DFA2CBE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FA9419C"/>
    <w:multiLevelType w:val="hybridMultilevel"/>
    <w:tmpl w:val="79FC250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4"/>
  </w:num>
  <w:num w:numId="5">
    <w:abstractNumId w:val="11"/>
  </w:num>
  <w:num w:numId="6">
    <w:abstractNumId w:val="1"/>
  </w:num>
  <w:num w:numId="7">
    <w:abstractNumId w:val="2"/>
  </w:num>
  <w:num w:numId="8">
    <w:abstractNumId w:val="15"/>
  </w:num>
  <w:num w:numId="9">
    <w:abstractNumId w:val="8"/>
  </w:num>
  <w:num w:numId="10">
    <w:abstractNumId w:val="10"/>
  </w:num>
  <w:num w:numId="11">
    <w:abstractNumId w:val="5"/>
  </w:num>
  <w:num w:numId="12">
    <w:abstractNumId w:val="3"/>
  </w:num>
  <w:num w:numId="13">
    <w:abstractNumId w:val="0"/>
  </w:num>
  <w:num w:numId="14">
    <w:abstractNumId w:val="13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6C"/>
    <w:rsid w:val="00013C75"/>
    <w:rsid w:val="00030558"/>
    <w:rsid w:val="00037380"/>
    <w:rsid w:val="000440E5"/>
    <w:rsid w:val="00047C59"/>
    <w:rsid w:val="00051686"/>
    <w:rsid w:val="00054F5A"/>
    <w:rsid w:val="000633E4"/>
    <w:rsid w:val="000838FD"/>
    <w:rsid w:val="00086D19"/>
    <w:rsid w:val="000952C5"/>
    <w:rsid w:val="000A287F"/>
    <w:rsid w:val="000A28AE"/>
    <w:rsid w:val="000B6E27"/>
    <w:rsid w:val="000E57A3"/>
    <w:rsid w:val="000E5F38"/>
    <w:rsid w:val="000F4C64"/>
    <w:rsid w:val="00104C7C"/>
    <w:rsid w:val="00106C17"/>
    <w:rsid w:val="00120BD2"/>
    <w:rsid w:val="00123130"/>
    <w:rsid w:val="001324DC"/>
    <w:rsid w:val="001426BD"/>
    <w:rsid w:val="001539C8"/>
    <w:rsid w:val="00181C31"/>
    <w:rsid w:val="00185962"/>
    <w:rsid w:val="00187474"/>
    <w:rsid w:val="001A0FE9"/>
    <w:rsid w:val="001A24EB"/>
    <w:rsid w:val="001B1409"/>
    <w:rsid w:val="001C498C"/>
    <w:rsid w:val="001D115D"/>
    <w:rsid w:val="001D6709"/>
    <w:rsid w:val="001E4747"/>
    <w:rsid w:val="00205B3B"/>
    <w:rsid w:val="00217D1E"/>
    <w:rsid w:val="002418B3"/>
    <w:rsid w:val="00247765"/>
    <w:rsid w:val="002508AE"/>
    <w:rsid w:val="00252727"/>
    <w:rsid w:val="00262D8D"/>
    <w:rsid w:val="00270456"/>
    <w:rsid w:val="00276D7B"/>
    <w:rsid w:val="00283187"/>
    <w:rsid w:val="00295DEF"/>
    <w:rsid w:val="002A1808"/>
    <w:rsid w:val="002C054B"/>
    <w:rsid w:val="002D098A"/>
    <w:rsid w:val="002D31DB"/>
    <w:rsid w:val="002E0FB3"/>
    <w:rsid w:val="002E1066"/>
    <w:rsid w:val="002E2114"/>
    <w:rsid w:val="002F634D"/>
    <w:rsid w:val="00301598"/>
    <w:rsid w:val="00307AD0"/>
    <w:rsid w:val="003148C0"/>
    <w:rsid w:val="003155BE"/>
    <w:rsid w:val="0032388D"/>
    <w:rsid w:val="00332FA1"/>
    <w:rsid w:val="00333916"/>
    <w:rsid w:val="00334854"/>
    <w:rsid w:val="00336136"/>
    <w:rsid w:val="00336256"/>
    <w:rsid w:val="003456B6"/>
    <w:rsid w:val="0036043C"/>
    <w:rsid w:val="00370743"/>
    <w:rsid w:val="003729FC"/>
    <w:rsid w:val="00376133"/>
    <w:rsid w:val="003812C5"/>
    <w:rsid w:val="00385F1B"/>
    <w:rsid w:val="003A2626"/>
    <w:rsid w:val="003B230F"/>
    <w:rsid w:val="003B2694"/>
    <w:rsid w:val="003B5523"/>
    <w:rsid w:val="003C46D3"/>
    <w:rsid w:val="003E4C05"/>
    <w:rsid w:val="003E5929"/>
    <w:rsid w:val="003F13CA"/>
    <w:rsid w:val="0040165F"/>
    <w:rsid w:val="0040314B"/>
    <w:rsid w:val="004069D6"/>
    <w:rsid w:val="00436FE5"/>
    <w:rsid w:val="00437BF8"/>
    <w:rsid w:val="00440237"/>
    <w:rsid w:val="00443EF5"/>
    <w:rsid w:val="00444DED"/>
    <w:rsid w:val="00450FE0"/>
    <w:rsid w:val="00453246"/>
    <w:rsid w:val="00454675"/>
    <w:rsid w:val="004568D2"/>
    <w:rsid w:val="0045764D"/>
    <w:rsid w:val="00471A91"/>
    <w:rsid w:val="0047291A"/>
    <w:rsid w:val="00484401"/>
    <w:rsid w:val="0048694B"/>
    <w:rsid w:val="00494FFE"/>
    <w:rsid w:val="004A55DC"/>
    <w:rsid w:val="004B4D71"/>
    <w:rsid w:val="004D7589"/>
    <w:rsid w:val="004E2962"/>
    <w:rsid w:val="00501EF5"/>
    <w:rsid w:val="005036F7"/>
    <w:rsid w:val="0050737B"/>
    <w:rsid w:val="00520507"/>
    <w:rsid w:val="005256BE"/>
    <w:rsid w:val="005270D2"/>
    <w:rsid w:val="005338A0"/>
    <w:rsid w:val="0053570D"/>
    <w:rsid w:val="00540A51"/>
    <w:rsid w:val="00546637"/>
    <w:rsid w:val="005501E1"/>
    <w:rsid w:val="00554BB7"/>
    <w:rsid w:val="005741FB"/>
    <w:rsid w:val="00576F78"/>
    <w:rsid w:val="00583DF6"/>
    <w:rsid w:val="0058485A"/>
    <w:rsid w:val="0058710C"/>
    <w:rsid w:val="00591862"/>
    <w:rsid w:val="00592A12"/>
    <w:rsid w:val="005B3089"/>
    <w:rsid w:val="005C77D9"/>
    <w:rsid w:val="005D1E98"/>
    <w:rsid w:val="005D3F75"/>
    <w:rsid w:val="005D4C61"/>
    <w:rsid w:val="005D6806"/>
    <w:rsid w:val="005D6836"/>
    <w:rsid w:val="005E0BF9"/>
    <w:rsid w:val="005E2213"/>
    <w:rsid w:val="005E33C3"/>
    <w:rsid w:val="005E34F8"/>
    <w:rsid w:val="005F739E"/>
    <w:rsid w:val="00611CF6"/>
    <w:rsid w:val="00616903"/>
    <w:rsid w:val="006251D3"/>
    <w:rsid w:val="0062686E"/>
    <w:rsid w:val="0063270C"/>
    <w:rsid w:val="00635771"/>
    <w:rsid w:val="00656E26"/>
    <w:rsid w:val="006734DA"/>
    <w:rsid w:val="00690315"/>
    <w:rsid w:val="00691012"/>
    <w:rsid w:val="006B022C"/>
    <w:rsid w:val="006B5710"/>
    <w:rsid w:val="006B6C96"/>
    <w:rsid w:val="006C475A"/>
    <w:rsid w:val="006C7A1F"/>
    <w:rsid w:val="006D619A"/>
    <w:rsid w:val="006F33FA"/>
    <w:rsid w:val="00715A2A"/>
    <w:rsid w:val="00715E48"/>
    <w:rsid w:val="00733BD7"/>
    <w:rsid w:val="007424DD"/>
    <w:rsid w:val="00753846"/>
    <w:rsid w:val="00756B57"/>
    <w:rsid w:val="0076716F"/>
    <w:rsid w:val="007725DE"/>
    <w:rsid w:val="00793285"/>
    <w:rsid w:val="007A6D5F"/>
    <w:rsid w:val="007B103C"/>
    <w:rsid w:val="007B1526"/>
    <w:rsid w:val="007B2EB0"/>
    <w:rsid w:val="007C71C1"/>
    <w:rsid w:val="007D2DBD"/>
    <w:rsid w:val="007D38C3"/>
    <w:rsid w:val="007E2BD3"/>
    <w:rsid w:val="007E3D13"/>
    <w:rsid w:val="007E6DBC"/>
    <w:rsid w:val="008054B3"/>
    <w:rsid w:val="0081246B"/>
    <w:rsid w:val="00815525"/>
    <w:rsid w:val="008208E3"/>
    <w:rsid w:val="00820FC9"/>
    <w:rsid w:val="00825215"/>
    <w:rsid w:val="00831354"/>
    <w:rsid w:val="008407D8"/>
    <w:rsid w:val="00844A73"/>
    <w:rsid w:val="00873C7E"/>
    <w:rsid w:val="008A5841"/>
    <w:rsid w:val="008C7478"/>
    <w:rsid w:val="008D2F14"/>
    <w:rsid w:val="008D593A"/>
    <w:rsid w:val="008D70EA"/>
    <w:rsid w:val="008E1E57"/>
    <w:rsid w:val="008F0BCD"/>
    <w:rsid w:val="008F4B1A"/>
    <w:rsid w:val="00902293"/>
    <w:rsid w:val="00922E78"/>
    <w:rsid w:val="00950737"/>
    <w:rsid w:val="00982364"/>
    <w:rsid w:val="00982A83"/>
    <w:rsid w:val="00982FDC"/>
    <w:rsid w:val="009E3800"/>
    <w:rsid w:val="009E42E2"/>
    <w:rsid w:val="009F0BEA"/>
    <w:rsid w:val="00A02DF6"/>
    <w:rsid w:val="00A032AD"/>
    <w:rsid w:val="00A05C22"/>
    <w:rsid w:val="00A10F50"/>
    <w:rsid w:val="00A470F8"/>
    <w:rsid w:val="00A51D0C"/>
    <w:rsid w:val="00A63D5D"/>
    <w:rsid w:val="00A676EA"/>
    <w:rsid w:val="00A71ECE"/>
    <w:rsid w:val="00A80234"/>
    <w:rsid w:val="00A853AA"/>
    <w:rsid w:val="00A87C59"/>
    <w:rsid w:val="00A970B2"/>
    <w:rsid w:val="00AA7BA8"/>
    <w:rsid w:val="00AD6814"/>
    <w:rsid w:val="00AE5C91"/>
    <w:rsid w:val="00B01209"/>
    <w:rsid w:val="00B31DC1"/>
    <w:rsid w:val="00B31E1B"/>
    <w:rsid w:val="00B3719C"/>
    <w:rsid w:val="00B531C1"/>
    <w:rsid w:val="00B562C9"/>
    <w:rsid w:val="00B64A20"/>
    <w:rsid w:val="00B70119"/>
    <w:rsid w:val="00B811D1"/>
    <w:rsid w:val="00B960FC"/>
    <w:rsid w:val="00B970C9"/>
    <w:rsid w:val="00BA1B6A"/>
    <w:rsid w:val="00BC400A"/>
    <w:rsid w:val="00BD09E9"/>
    <w:rsid w:val="00BD45EA"/>
    <w:rsid w:val="00BE11AA"/>
    <w:rsid w:val="00BE2BD1"/>
    <w:rsid w:val="00BE3125"/>
    <w:rsid w:val="00BE467E"/>
    <w:rsid w:val="00BE4C38"/>
    <w:rsid w:val="00BF01D4"/>
    <w:rsid w:val="00C13A2C"/>
    <w:rsid w:val="00C23D9C"/>
    <w:rsid w:val="00C449BC"/>
    <w:rsid w:val="00C53BF2"/>
    <w:rsid w:val="00C60E93"/>
    <w:rsid w:val="00C709BE"/>
    <w:rsid w:val="00C8200A"/>
    <w:rsid w:val="00C83997"/>
    <w:rsid w:val="00C840CA"/>
    <w:rsid w:val="00C87B6C"/>
    <w:rsid w:val="00CA2AEE"/>
    <w:rsid w:val="00CD709F"/>
    <w:rsid w:val="00CE222D"/>
    <w:rsid w:val="00CE2F33"/>
    <w:rsid w:val="00CE50D4"/>
    <w:rsid w:val="00CF0345"/>
    <w:rsid w:val="00D00D25"/>
    <w:rsid w:val="00D0132C"/>
    <w:rsid w:val="00D0266D"/>
    <w:rsid w:val="00D123FC"/>
    <w:rsid w:val="00D31AD0"/>
    <w:rsid w:val="00D323FD"/>
    <w:rsid w:val="00D32BAD"/>
    <w:rsid w:val="00D33323"/>
    <w:rsid w:val="00D525E6"/>
    <w:rsid w:val="00D614EF"/>
    <w:rsid w:val="00DA2C5C"/>
    <w:rsid w:val="00DA5F6C"/>
    <w:rsid w:val="00DB2A42"/>
    <w:rsid w:val="00DC5C2D"/>
    <w:rsid w:val="00DF441D"/>
    <w:rsid w:val="00E011FD"/>
    <w:rsid w:val="00E117B1"/>
    <w:rsid w:val="00E12829"/>
    <w:rsid w:val="00E1702F"/>
    <w:rsid w:val="00E20A16"/>
    <w:rsid w:val="00E37EDD"/>
    <w:rsid w:val="00E408F3"/>
    <w:rsid w:val="00E42190"/>
    <w:rsid w:val="00E5160F"/>
    <w:rsid w:val="00E549C9"/>
    <w:rsid w:val="00E564AB"/>
    <w:rsid w:val="00E62A49"/>
    <w:rsid w:val="00E76E0E"/>
    <w:rsid w:val="00E803FC"/>
    <w:rsid w:val="00EC17C2"/>
    <w:rsid w:val="00EC5CCF"/>
    <w:rsid w:val="00ED00AC"/>
    <w:rsid w:val="00ED45B9"/>
    <w:rsid w:val="00ED4CE9"/>
    <w:rsid w:val="00EE40D9"/>
    <w:rsid w:val="00EF3E65"/>
    <w:rsid w:val="00EF765F"/>
    <w:rsid w:val="00EF7F28"/>
    <w:rsid w:val="00F045EC"/>
    <w:rsid w:val="00F052C4"/>
    <w:rsid w:val="00F07058"/>
    <w:rsid w:val="00F16F3C"/>
    <w:rsid w:val="00F251A9"/>
    <w:rsid w:val="00F32928"/>
    <w:rsid w:val="00F33A69"/>
    <w:rsid w:val="00F401E3"/>
    <w:rsid w:val="00F54F66"/>
    <w:rsid w:val="00F7007B"/>
    <w:rsid w:val="00F800C8"/>
    <w:rsid w:val="00F82801"/>
    <w:rsid w:val="00F90D25"/>
    <w:rsid w:val="00F931C2"/>
    <w:rsid w:val="00F94257"/>
    <w:rsid w:val="00FB6457"/>
    <w:rsid w:val="00FC1E1F"/>
    <w:rsid w:val="00FC5A36"/>
    <w:rsid w:val="00FC7DFF"/>
    <w:rsid w:val="00FD40E3"/>
    <w:rsid w:val="00FF102F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0FDF5"/>
  <w15:docId w15:val="{3311E1B3-4042-4DD7-9682-4C2549B9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C17"/>
    <w:pPr>
      <w:spacing w:after="0" w:line="240" w:lineRule="auto"/>
    </w:pPr>
    <w:rPr>
      <w:rFonts w:ascii="Arial" w:eastAsia="Times New Roman" w:hAnsi="Arial" w:cs="Times New Roman"/>
      <w:lang w:eastAsia="en-ZA"/>
    </w:rPr>
  </w:style>
  <w:style w:type="paragraph" w:styleId="Heading1">
    <w:name w:val="heading 1"/>
    <w:aliases w:val="H1,rp_Heading 1,Bold 18,VS1,2,Heading,Head1,Heading apps,1,SCE,Part,h1"/>
    <w:basedOn w:val="Normal"/>
    <w:next w:val="Normal"/>
    <w:link w:val="Heading1Char"/>
    <w:uiPriority w:val="9"/>
    <w:qFormat/>
    <w:rsid w:val="00450FE0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3D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3D5D"/>
    <w:rPr>
      <w:rFonts w:ascii="Arial" w:eastAsia="Times New Roman" w:hAnsi="Arial" w:cs="Times New Roman"/>
      <w:sz w:val="20"/>
      <w:szCs w:val="20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3D5D"/>
    <w:rPr>
      <w:rFonts w:ascii="Arial" w:eastAsia="Times New Roman" w:hAnsi="Arial" w:cs="Times New Roman"/>
      <w:b/>
      <w:bCs/>
      <w:sz w:val="20"/>
      <w:szCs w:val="20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5D"/>
    <w:rPr>
      <w:rFonts w:ascii="Tahoma" w:eastAsia="Times New Roman" w:hAnsi="Tahoma" w:cs="Tahoma"/>
      <w:sz w:val="16"/>
      <w:szCs w:val="16"/>
      <w:lang w:eastAsia="en-ZA"/>
    </w:rPr>
  </w:style>
  <w:style w:type="paragraph" w:styleId="ListParagraph">
    <w:name w:val="List Paragraph"/>
    <w:basedOn w:val="Normal"/>
    <w:uiPriority w:val="34"/>
    <w:qFormat/>
    <w:rsid w:val="00450FE0"/>
    <w:pPr>
      <w:ind w:left="720"/>
      <w:contextualSpacing/>
    </w:pPr>
  </w:style>
  <w:style w:type="character" w:customStyle="1" w:styleId="Heading1Char">
    <w:name w:val="Heading 1 Char"/>
    <w:aliases w:val="H1 Char,rp_Heading 1 Char,Bold 18 Char,VS1 Char,2 Char,Heading Char,Head1 Char,Heading apps Char,1 Char,SCE Char,Part Char,h1 Char"/>
    <w:basedOn w:val="DefaultParagraphFont"/>
    <w:link w:val="Heading1"/>
    <w:uiPriority w:val="9"/>
    <w:rsid w:val="00450FE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Revision">
    <w:name w:val="Revision"/>
    <w:hidden/>
    <w:uiPriority w:val="99"/>
    <w:semiHidden/>
    <w:rsid w:val="007E3D13"/>
    <w:pPr>
      <w:spacing w:after="0" w:line="240" w:lineRule="auto"/>
    </w:pPr>
    <w:rPr>
      <w:rFonts w:ascii="Arial" w:eastAsia="Times New Roman" w:hAnsi="Arial" w:cs="Times New Roman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6903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315"/>
    <w:rPr>
      <w:rFonts w:ascii="Arial" w:eastAsia="Times New Roman" w:hAnsi="Arial" w:cs="Times New Roman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6903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315"/>
    <w:rPr>
      <w:rFonts w:ascii="Arial" w:eastAsia="Times New Roman" w:hAnsi="Arial" w:cs="Times New Roman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D3A4A-0F7A-404F-8307-790E8125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Lalashé Lundall</dc:creator>
  <cp:lastModifiedBy>Esvin Isaacs</cp:lastModifiedBy>
  <cp:revision>2</cp:revision>
  <cp:lastPrinted>2020-03-02T07:08:00Z</cp:lastPrinted>
  <dcterms:created xsi:type="dcterms:W3CDTF">2020-03-09T14:11:00Z</dcterms:created>
  <dcterms:modified xsi:type="dcterms:W3CDTF">2020-03-09T14:11:00Z</dcterms:modified>
</cp:coreProperties>
</file>