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65E31" w14:textId="3B820B94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</w:p>
    <w:p w14:paraId="16E65E32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16E65E33" w14:textId="649CC952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</w:t>
      </w:r>
    </w:p>
    <w:p w14:paraId="16E65E34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16E65E35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16E65E3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16E65E37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16E65E38" w14:textId="2E43B7AD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16E65E39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A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3B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16E65E3C" w14:textId="4621FE9D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</w:t>
      </w:r>
      <w:r w:rsidR="004F0A55">
        <w:rPr>
          <w:rFonts w:ascii="Arial" w:hAnsi="Arial" w:cs="Arial"/>
          <w:sz w:val="22"/>
          <w:szCs w:val="22"/>
          <w:lang w:val="en-GB"/>
        </w:rPr>
        <w:t xml:space="preserve"> as stipulated in SARS Preferential Procurement Policy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</w:p>
    <w:p w14:paraId="16E65E3E" w14:textId="450C8B39" w:rsidR="00BF1467" w:rsidRPr="004F0A55" w:rsidRDefault="00BF1467" w:rsidP="0035367A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4F0A55">
        <w:rPr>
          <w:rFonts w:cs="Arial"/>
          <w:color w:val="auto"/>
          <w:sz w:val="22"/>
          <w:szCs w:val="22"/>
        </w:rPr>
        <w:t xml:space="preserve">the 80/20 system </w:t>
      </w:r>
      <w:r w:rsidR="004F0A55">
        <w:rPr>
          <w:rFonts w:cs="Arial"/>
          <w:color w:val="auto"/>
          <w:sz w:val="22"/>
          <w:szCs w:val="22"/>
        </w:rPr>
        <w:t xml:space="preserve">will apply to all bids except where </w:t>
      </w:r>
      <w:r w:rsidR="004F0A55" w:rsidRPr="004F0A55">
        <w:rPr>
          <w:rFonts w:cs="Arial"/>
          <w:color w:val="auto"/>
          <w:sz w:val="22"/>
          <w:szCs w:val="22"/>
        </w:rPr>
        <w:t xml:space="preserve">advertised in the bid request that the 90/10 points system will be applicable. </w:t>
      </w:r>
    </w:p>
    <w:p w14:paraId="16E65E42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43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16E65E44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16E65E45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16E65E46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16E65E49" w14:textId="77777777" w:rsidTr="00787948">
        <w:tc>
          <w:tcPr>
            <w:tcW w:w="5130" w:type="dxa"/>
            <w:shd w:val="clear" w:color="auto" w:fill="C00000"/>
            <w:vAlign w:val="bottom"/>
          </w:tcPr>
          <w:p w14:paraId="16E65E47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16E65E48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16E65E4C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A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16E65E4B" w14:textId="4DD1D44F" w:rsidR="00E10C22" w:rsidRPr="00E44F1F" w:rsidRDefault="006D62AF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9</w:t>
            </w:r>
            <w:r w:rsidR="00757DD0"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  <w:t>0</w:t>
            </w:r>
          </w:p>
        </w:tc>
      </w:tr>
      <w:tr w:rsidR="00E10C22" w:rsidRPr="00E44F1F" w14:paraId="16E65E4F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4D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16E65E4E" w14:textId="4A6EDB79" w:rsidR="00E10C22" w:rsidRPr="00E44F1F" w:rsidRDefault="006D62AF" w:rsidP="00757DD0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1</w:t>
            </w:r>
            <w:r w:rsidR="00757DD0">
              <w:rPr>
                <w:rFonts w:ascii="Arial" w:hAnsi="Arial" w:cs="Arial"/>
                <w:sz w:val="22"/>
                <w:szCs w:val="22"/>
                <w:lang w:val="en-GB"/>
              </w:rPr>
              <w:t>0</w:t>
            </w:r>
          </w:p>
        </w:tc>
      </w:tr>
      <w:tr w:rsidR="00E10C22" w:rsidRPr="00E44F1F" w14:paraId="16E65E52" w14:textId="77777777" w:rsidTr="00787948">
        <w:tc>
          <w:tcPr>
            <w:tcW w:w="5130" w:type="dxa"/>
            <w:shd w:val="clear" w:color="auto" w:fill="auto"/>
            <w:vAlign w:val="bottom"/>
          </w:tcPr>
          <w:p w14:paraId="16E65E50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16E65E51" w14:textId="77777777"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16E65E53" w14:textId="77777777"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4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16E65E55" w14:textId="19E67D3D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A5F3D31" w14:textId="77777777" w:rsidR="006D62AF" w:rsidRDefault="006D62AF" w:rsidP="006D62AF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59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DEFINITIONS</w:t>
      </w:r>
    </w:p>
    <w:p w14:paraId="16E65E5A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16E65E5B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16E65E5C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16E65E5D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16E65E5E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16E65E5F" w14:textId="77777777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16E65E60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16E65E61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16E65E62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16E65E63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16E65E64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16E65E65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16E65E66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16E65E67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16E65E68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16E65E69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16E65E6A" w14:textId="448886F1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90/10 PREFERENCE POINT SYSTEMS </w:t>
      </w:r>
    </w:p>
    <w:p w14:paraId="16E65E6B" w14:textId="21E59143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90 points is allocated for price on the following basis:</w:t>
      </w:r>
    </w:p>
    <w:p w14:paraId="178CD294" w14:textId="77777777" w:rsidR="006D62A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6E65E6C" w14:textId="7284B88C" w:rsidR="00BF1467" w:rsidRPr="00E44F1F" w:rsidRDefault="006D62AF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ab/>
      </w:r>
      <w:r>
        <w:rPr>
          <w:rFonts w:ascii="Arial" w:hAnsi="Arial" w:cs="Arial"/>
          <w:b/>
          <w:sz w:val="22"/>
          <w:szCs w:val="22"/>
          <w:lang w:val="en-GB"/>
        </w:rPr>
        <w:tab/>
        <w:t xml:space="preserve">       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16E65E6D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16E65E6E" w14:textId="792D3B0F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16E65F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33.75pt" o:ole="" fillcolor="window">
            <v:imagedata r:id="rId11" o:title=""/>
          </v:shape>
          <o:OLEObject Type="Embed" ProgID="Equation.3" ShapeID="_x0000_i1025" DrawAspect="Content" ObjectID="_1710840141" r:id="rId12"/>
        </w:object>
      </w:r>
    </w:p>
    <w:p w14:paraId="1355F787" w14:textId="77777777" w:rsidR="00A870A5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</w:r>
    </w:p>
    <w:p w14:paraId="16E65E6F" w14:textId="721DB8EB" w:rsidR="00BF1467" w:rsidRPr="00E44F1F" w:rsidRDefault="00A870A5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sz w:val="22"/>
          <w:szCs w:val="22"/>
          <w:lang w:val="en-GB"/>
        </w:rPr>
        <w:t>Where</w:t>
      </w:r>
    </w:p>
    <w:p w14:paraId="16E65E70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16E65E71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16E65E72" w14:textId="76EA3F36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1387F2E1" w14:textId="77777777" w:rsidR="00E36ACE" w:rsidRDefault="00E36ACE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73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276EAA85" w14:textId="4F300FD2" w:rsidR="00BF114B" w:rsidRPr="00BF114B" w:rsidRDefault="00BF114B" w:rsidP="00BF114B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BF114B">
        <w:rPr>
          <w:rFonts w:ascii="Arial" w:hAnsi="Arial" w:cs="Arial"/>
          <w:b/>
          <w:sz w:val="22"/>
          <w:szCs w:val="22"/>
          <w:lang w:val="en-GB"/>
        </w:rPr>
        <w:t>Points Awarded for B-BBEE Status Level of Contributor and Goals</w:t>
      </w:r>
    </w:p>
    <w:p w14:paraId="5B908236" w14:textId="1F6EDAB8" w:rsidR="00BF114B" w:rsidRPr="00BF114B" w:rsidRDefault="00BF114B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  <w:r w:rsidRPr="00BF114B">
        <w:rPr>
          <w:rFonts w:ascii="Arial" w:hAnsi="Arial" w:cs="Arial"/>
          <w:sz w:val="22"/>
          <w:szCs w:val="22"/>
          <w:lang w:val="en-ZA"/>
        </w:rPr>
        <w:t>South African Revenue Service will use the following preference points system when</w:t>
      </w:r>
    </w:p>
    <w:p w14:paraId="16E65E75" w14:textId="234E8D38" w:rsidR="00BF1467" w:rsidRDefault="00BF114B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  <w:r w:rsidRPr="00BF114B">
        <w:rPr>
          <w:rFonts w:ascii="Arial" w:hAnsi="Arial" w:cs="Arial"/>
          <w:sz w:val="22"/>
          <w:szCs w:val="22"/>
          <w:lang w:val="en-ZA"/>
        </w:rPr>
        <w:t>awarding to a bidder for attaining the B-BBEE status in accordance with</w:t>
      </w:r>
      <w:r>
        <w:rPr>
          <w:rFonts w:ascii="Arial" w:hAnsi="Arial" w:cs="Arial"/>
          <w:sz w:val="22"/>
          <w:szCs w:val="22"/>
          <w:lang w:val="en-ZA"/>
        </w:rPr>
        <w:t xml:space="preserve"> </w:t>
      </w:r>
      <w:r w:rsidRPr="00BF114B">
        <w:rPr>
          <w:rFonts w:ascii="Arial" w:hAnsi="Arial" w:cs="Arial"/>
          <w:sz w:val="22"/>
          <w:szCs w:val="22"/>
          <w:lang w:val="en-ZA"/>
        </w:rPr>
        <w:t>the table below:</w:t>
      </w:r>
    </w:p>
    <w:p w14:paraId="178C661A" w14:textId="77777777" w:rsidR="00E36ACE" w:rsidRPr="00BF114B" w:rsidRDefault="00E36ACE" w:rsidP="00BF114B">
      <w:pPr>
        <w:widowControl/>
        <w:spacing w:after="120"/>
        <w:ind w:left="720"/>
        <w:jc w:val="both"/>
        <w:rPr>
          <w:rFonts w:ascii="Arial" w:hAnsi="Arial" w:cs="Arial"/>
          <w:sz w:val="22"/>
          <w:szCs w:val="22"/>
          <w:lang w:val="en-ZA"/>
        </w:rPr>
      </w:pPr>
    </w:p>
    <w:tbl>
      <w:tblPr>
        <w:tblW w:w="0" w:type="auto"/>
        <w:tblInd w:w="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2"/>
        <w:gridCol w:w="3260"/>
      </w:tblGrid>
      <w:tr w:rsidR="00A870A5" w:rsidRPr="00E44F1F" w14:paraId="284D0996" w14:textId="77777777" w:rsidTr="00A870A5">
        <w:trPr>
          <w:trHeight w:val="863"/>
        </w:trPr>
        <w:tc>
          <w:tcPr>
            <w:tcW w:w="3732" w:type="dxa"/>
            <w:shd w:val="clear" w:color="auto" w:fill="C00000"/>
            <w:vAlign w:val="center"/>
          </w:tcPr>
          <w:p w14:paraId="5B1E92D8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 xml:space="preserve">B-BBEE Status </w:t>
            </w:r>
          </w:p>
        </w:tc>
        <w:tc>
          <w:tcPr>
            <w:tcW w:w="3260" w:type="dxa"/>
            <w:shd w:val="clear" w:color="auto" w:fill="C00000"/>
            <w:vAlign w:val="center"/>
          </w:tcPr>
          <w:p w14:paraId="3EF4453B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C10BD54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</w:tr>
      <w:tr w:rsidR="00A870A5" w:rsidRPr="00E44F1F" w14:paraId="7239224C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2E758D7E" w14:textId="77777777" w:rsidR="00A870A5" w:rsidRPr="00D862E2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>EME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/QSE/LE</w:t>
            </w:r>
            <w:r w:rsidRPr="00D862E2">
              <w:rPr>
                <w:rFonts w:ascii="Arial" w:hAnsi="Arial" w:cs="Arial"/>
                <w:kern w:val="24"/>
                <w:sz w:val="22"/>
                <w:szCs w:val="22"/>
              </w:rPr>
              <w:t xml:space="preserve"> 100%BO</w:t>
            </w:r>
          </w:p>
        </w:tc>
        <w:tc>
          <w:tcPr>
            <w:tcW w:w="3260" w:type="dxa"/>
            <w:shd w:val="clear" w:color="auto" w:fill="auto"/>
          </w:tcPr>
          <w:p w14:paraId="6EC1F7FB" w14:textId="77777777" w:rsidR="00A870A5" w:rsidRPr="00D862E2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</w:tr>
      <w:tr w:rsidR="00A870A5" w:rsidRPr="00E44F1F" w14:paraId="4AE7EDAE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14E5A3AA" w14:textId="77777777" w:rsidR="00A870A5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EME/QSE=&gt;51%BO</w:t>
            </w:r>
          </w:p>
        </w:tc>
        <w:tc>
          <w:tcPr>
            <w:tcW w:w="3260" w:type="dxa"/>
            <w:shd w:val="clear" w:color="auto" w:fill="auto"/>
          </w:tcPr>
          <w:p w14:paraId="48C47385" w14:textId="77777777" w:rsidR="00A870A5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</w:tr>
      <w:tr w:rsidR="00A870A5" w:rsidRPr="00E44F1F" w14:paraId="5026B19D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3E95FA23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Level 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14:paraId="1AA9E6F6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A870A5" w:rsidRPr="00E44F1F" w14:paraId="035704F4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7778B6A4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2</w:t>
            </w:r>
          </w:p>
        </w:tc>
        <w:tc>
          <w:tcPr>
            <w:tcW w:w="3260" w:type="dxa"/>
            <w:shd w:val="clear" w:color="auto" w:fill="auto"/>
          </w:tcPr>
          <w:p w14:paraId="6D03A3EB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A870A5" w:rsidRPr="00E44F1F" w14:paraId="33F86563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3C65B2A6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3</w:t>
            </w:r>
          </w:p>
        </w:tc>
        <w:tc>
          <w:tcPr>
            <w:tcW w:w="3260" w:type="dxa"/>
            <w:shd w:val="clear" w:color="auto" w:fill="auto"/>
          </w:tcPr>
          <w:p w14:paraId="24835203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A870A5" w:rsidRPr="00E44F1F" w14:paraId="27A13A7B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5B564741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lastRenderedPageBreak/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4</w:t>
            </w:r>
          </w:p>
        </w:tc>
        <w:tc>
          <w:tcPr>
            <w:tcW w:w="3260" w:type="dxa"/>
            <w:shd w:val="clear" w:color="auto" w:fill="auto"/>
          </w:tcPr>
          <w:p w14:paraId="17F85C9C" w14:textId="77777777" w:rsidR="00A870A5" w:rsidRPr="00E44F1F" w:rsidRDefault="00A870A5" w:rsidP="000367C2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A870A5" w:rsidRPr="00E44F1F" w14:paraId="69073965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6F4D580C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5</w:t>
            </w:r>
          </w:p>
        </w:tc>
        <w:tc>
          <w:tcPr>
            <w:tcW w:w="3260" w:type="dxa"/>
            <w:shd w:val="clear" w:color="auto" w:fill="auto"/>
          </w:tcPr>
          <w:p w14:paraId="0537BCA0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870A5" w:rsidRPr="00E44F1F" w14:paraId="2E98ECEB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5531C6CF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6</w:t>
            </w:r>
          </w:p>
        </w:tc>
        <w:tc>
          <w:tcPr>
            <w:tcW w:w="3260" w:type="dxa"/>
            <w:shd w:val="clear" w:color="auto" w:fill="auto"/>
          </w:tcPr>
          <w:p w14:paraId="71A4DB59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870A5" w:rsidRPr="00E44F1F" w14:paraId="04D16319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3BC5C365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7</w:t>
            </w:r>
          </w:p>
        </w:tc>
        <w:tc>
          <w:tcPr>
            <w:tcW w:w="3260" w:type="dxa"/>
            <w:shd w:val="clear" w:color="auto" w:fill="auto"/>
          </w:tcPr>
          <w:p w14:paraId="2CE5D33B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870A5" w:rsidRPr="00E44F1F" w14:paraId="237B0FC8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6FD35C71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 xml:space="preserve"> Level</w:t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 xml:space="preserve"> 8</w:t>
            </w:r>
          </w:p>
        </w:tc>
        <w:tc>
          <w:tcPr>
            <w:tcW w:w="3260" w:type="dxa"/>
            <w:shd w:val="clear" w:color="auto" w:fill="auto"/>
          </w:tcPr>
          <w:p w14:paraId="1A8E5B41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870A5" w:rsidRPr="00E44F1F" w14:paraId="6B0A047F" w14:textId="77777777" w:rsidTr="00A870A5">
        <w:trPr>
          <w:trHeight w:val="317"/>
        </w:trPr>
        <w:tc>
          <w:tcPr>
            <w:tcW w:w="3732" w:type="dxa"/>
            <w:shd w:val="clear" w:color="auto" w:fill="auto"/>
          </w:tcPr>
          <w:p w14:paraId="431935C3" w14:textId="77777777" w:rsidR="00A870A5" w:rsidRPr="00E44F1F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Non-compliant</w:t>
            </w:r>
          </w:p>
        </w:tc>
        <w:tc>
          <w:tcPr>
            <w:tcW w:w="3260" w:type="dxa"/>
            <w:shd w:val="clear" w:color="auto" w:fill="auto"/>
          </w:tcPr>
          <w:p w14:paraId="393045F8" w14:textId="77777777" w:rsidR="00A870A5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870A5" w:rsidRPr="00E44F1F" w14:paraId="27D36AAF" w14:textId="77777777" w:rsidTr="00A870A5">
        <w:trPr>
          <w:trHeight w:val="317"/>
        </w:trPr>
        <w:tc>
          <w:tcPr>
            <w:tcW w:w="6992" w:type="dxa"/>
            <w:gridSpan w:val="2"/>
            <w:shd w:val="clear" w:color="auto" w:fill="auto"/>
          </w:tcPr>
          <w:p w14:paraId="006E7036" w14:textId="592B767A" w:rsidR="00A870A5" w:rsidRPr="00A870A5" w:rsidRDefault="00A870A5" w:rsidP="000367C2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870A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Maximum points of 10 points </w:t>
            </w:r>
          </w:p>
        </w:tc>
      </w:tr>
    </w:tbl>
    <w:p w14:paraId="16E65EA0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6E65EA1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16E65EA2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16E65EA3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16E65EA4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16E65EA5" w14:textId="0CBD8B57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r w:rsidR="00A870A5" w:rsidRPr="00E44F1F">
        <w:rPr>
          <w:rFonts w:ascii="Arial" w:hAnsi="Arial" w:cs="Arial"/>
          <w:sz w:val="22"/>
          <w:szCs w:val="22"/>
        </w:rPr>
        <w:t>paragraph 4.1</w:t>
      </w:r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16E65EA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16E65EA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16E65EA8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16E65EA9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16E65EAE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A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B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AC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AD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E65EAF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16E65EB0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16E65EB1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16E65EB2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6E65EB3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16E65EB4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16E65EB5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16E65EBA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6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7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6E65EB8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E65EB9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6E65EE9" w14:textId="115F28CC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6E65EEA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16E65EE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16E65EEC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16E65EED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16E65EEE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16E65EEF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16E65EF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16E65EF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16E65EF2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16E65EF3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16E65EF4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16E65EF5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16E65EF6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16E65EF7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16E65EF8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16E65EF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16E65EFA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16E65EFB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16E65EFC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16E65EFD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16E65EFE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EFF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16E65F00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16E65F01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16E65F02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16E65F03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16E65F04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16E65F05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6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16E65F07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16E65F08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16E65F09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16E65F0B" w14:textId="03DB1791" w:rsidR="00BF1467" w:rsidRPr="00A870A5" w:rsidRDefault="00BF1467" w:rsidP="00AF0C7D">
      <w:pPr>
        <w:numPr>
          <w:ilvl w:val="1"/>
          <w:numId w:val="32"/>
        </w:numPr>
        <w:tabs>
          <w:tab w:val="left" w:pos="1980"/>
        </w:tabs>
        <w:spacing w:after="120"/>
        <w:ind w:left="1987" w:right="745" w:hanging="547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A870A5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 w:rsidRPr="00A870A5">
        <w:rPr>
          <w:rFonts w:ascii="Arial" w:hAnsi="Arial" w:cs="Arial"/>
          <w:sz w:val="22"/>
          <w:szCs w:val="22"/>
          <w:lang w:val="en-GB"/>
        </w:rPr>
        <w:t>.</w:t>
      </w:r>
    </w:p>
    <w:p w14:paraId="16E65F0C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16E65F0D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E65F10" wp14:editId="16E65F1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1E" w14:textId="77777777" w:rsidR="00177DEA" w:rsidRDefault="00177DEA"/>
                          <w:p w14:paraId="16E65F1F" w14:textId="77777777" w:rsidR="00177DEA" w:rsidRDefault="00177DEA"/>
                          <w:p w14:paraId="16E65F20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16E65F21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16E65F22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3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16E65F24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5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6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16E65F27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65F10"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SoWEgIAACI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">
                <v:textbox>
                  <w:txbxContent>
                    <w:p w14:paraId="16E65F1E" w14:textId="77777777" w:rsidR="00177DEA" w:rsidRDefault="00177DEA"/>
                    <w:p w14:paraId="16E65F1F" w14:textId="77777777" w:rsidR="00177DEA" w:rsidRDefault="00177DEA"/>
                    <w:p w14:paraId="16E65F20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16E65F21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16E65F22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3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16E65F24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5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6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16E65F27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6E65F12" wp14:editId="16E65F13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65F28" w14:textId="77777777" w:rsidR="00177DEA" w:rsidRDefault="00177DEA" w:rsidP="00B20874"/>
                          <w:p w14:paraId="16E65F29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16E65F2A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6E65F2B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16E65F2C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16E65F2D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65F12"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">
                <v:textbox>
                  <w:txbxContent>
                    <w:p w14:paraId="16E65F28" w14:textId="77777777" w:rsidR="00177DEA" w:rsidRDefault="00177DEA" w:rsidP="00B20874"/>
                    <w:p w14:paraId="16E65F29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16E65F2A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16E65F2B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16E65F2C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16E65F2D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3"/>
      <w:headerReference w:type="default" r:id="rId14"/>
      <w:footerReference w:type="default" r:id="rId15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CD50" w14:textId="77777777" w:rsidR="002A792F" w:rsidRDefault="002A792F">
      <w:r>
        <w:separator/>
      </w:r>
    </w:p>
  </w:endnote>
  <w:endnote w:type="continuationSeparator" w:id="0">
    <w:p w14:paraId="629E5337" w14:textId="77777777" w:rsidR="002A792F" w:rsidRDefault="002A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5F1C" w14:textId="2C8DEFB6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57DD0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757DD0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16E65F1D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E2C43" w14:textId="77777777" w:rsidR="002A792F" w:rsidRDefault="002A792F">
      <w:r>
        <w:separator/>
      </w:r>
    </w:p>
  </w:footnote>
  <w:footnote w:type="continuationSeparator" w:id="0">
    <w:p w14:paraId="4F6495DD" w14:textId="77777777" w:rsidR="002A792F" w:rsidRDefault="002A7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5F18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16E65F19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5F1A" w14:textId="04EE823C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7DD0">
      <w:rPr>
        <w:rStyle w:val="PageNumber"/>
        <w:noProof/>
      </w:rPr>
      <w:t>5</w:t>
    </w:r>
    <w:r>
      <w:rPr>
        <w:rStyle w:val="PageNumber"/>
      </w:rPr>
      <w:fldChar w:fldCharType="end"/>
    </w:r>
  </w:p>
  <w:p w14:paraId="16E65F1B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0013C03"/>
    <w:multiLevelType w:val="hybridMultilevel"/>
    <w:tmpl w:val="BF2ECB74"/>
    <w:lvl w:ilvl="0" w:tplc="84EA67D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789" w:hanging="360"/>
      </w:pPr>
    </w:lvl>
    <w:lvl w:ilvl="2" w:tplc="1C09001B" w:tentative="1">
      <w:start w:val="1"/>
      <w:numFmt w:val="lowerRoman"/>
      <w:lvlText w:val="%3."/>
      <w:lvlJc w:val="right"/>
      <w:pPr>
        <w:ind w:left="2509" w:hanging="180"/>
      </w:pPr>
    </w:lvl>
    <w:lvl w:ilvl="3" w:tplc="1C09000F" w:tentative="1">
      <w:start w:val="1"/>
      <w:numFmt w:val="decimal"/>
      <w:lvlText w:val="%4."/>
      <w:lvlJc w:val="left"/>
      <w:pPr>
        <w:ind w:left="3229" w:hanging="360"/>
      </w:pPr>
    </w:lvl>
    <w:lvl w:ilvl="4" w:tplc="1C090019" w:tentative="1">
      <w:start w:val="1"/>
      <w:numFmt w:val="lowerLetter"/>
      <w:lvlText w:val="%5."/>
      <w:lvlJc w:val="left"/>
      <w:pPr>
        <w:ind w:left="3949" w:hanging="360"/>
      </w:pPr>
    </w:lvl>
    <w:lvl w:ilvl="5" w:tplc="1C09001B" w:tentative="1">
      <w:start w:val="1"/>
      <w:numFmt w:val="lowerRoman"/>
      <w:lvlText w:val="%6."/>
      <w:lvlJc w:val="right"/>
      <w:pPr>
        <w:ind w:left="4669" w:hanging="180"/>
      </w:pPr>
    </w:lvl>
    <w:lvl w:ilvl="6" w:tplc="1C09000F" w:tentative="1">
      <w:start w:val="1"/>
      <w:numFmt w:val="decimal"/>
      <w:lvlText w:val="%7."/>
      <w:lvlJc w:val="left"/>
      <w:pPr>
        <w:ind w:left="5389" w:hanging="360"/>
      </w:pPr>
    </w:lvl>
    <w:lvl w:ilvl="7" w:tplc="1C090019" w:tentative="1">
      <w:start w:val="1"/>
      <w:numFmt w:val="lowerLetter"/>
      <w:lvlText w:val="%8."/>
      <w:lvlJc w:val="left"/>
      <w:pPr>
        <w:ind w:left="6109" w:hanging="360"/>
      </w:pPr>
    </w:lvl>
    <w:lvl w:ilvl="8" w:tplc="1C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 w15:restartNumberingAfterBreak="0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9" w15:restartNumberingAfterBreak="0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10" w15:restartNumberingAfterBreak="0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1" w15:restartNumberingAfterBreak="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2" w15:restartNumberingAfterBreak="0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6" w15:restartNumberingAfterBreak="0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7" w15:restartNumberingAfterBreak="0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 w15:restartNumberingAfterBreak="0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9" w15:restartNumberingAfterBreak="0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1" w15:restartNumberingAfterBreak="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 w15:restartNumberingAfterBreak="0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5" w15:restartNumberingAfterBreak="0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6" w15:restartNumberingAfterBreak="0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 w15:restartNumberingAfterBreak="0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9" w15:restartNumberingAfterBreak="0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0" w15:restartNumberingAfterBreak="0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1" w15:restartNumberingAfterBreak="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3" w15:restartNumberingAfterBreak="0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30"/>
  </w:num>
  <w:num w:numId="3">
    <w:abstractNumId w:val="10"/>
  </w:num>
  <w:num w:numId="4">
    <w:abstractNumId w:val="16"/>
  </w:num>
  <w:num w:numId="5">
    <w:abstractNumId w:val="32"/>
  </w:num>
  <w:num w:numId="6">
    <w:abstractNumId w:val="5"/>
  </w:num>
  <w:num w:numId="7">
    <w:abstractNumId w:val="23"/>
  </w:num>
  <w:num w:numId="8">
    <w:abstractNumId w:val="7"/>
  </w:num>
  <w:num w:numId="9">
    <w:abstractNumId w:val="22"/>
  </w:num>
  <w:num w:numId="10">
    <w:abstractNumId w:val="13"/>
  </w:num>
  <w:num w:numId="11">
    <w:abstractNumId w:val="9"/>
  </w:num>
  <w:num w:numId="12">
    <w:abstractNumId w:val="8"/>
  </w:num>
  <w:num w:numId="13">
    <w:abstractNumId w:val="21"/>
  </w:num>
  <w:num w:numId="14">
    <w:abstractNumId w:val="12"/>
  </w:num>
  <w:num w:numId="15">
    <w:abstractNumId w:val="31"/>
  </w:num>
  <w:num w:numId="16">
    <w:abstractNumId w:val="27"/>
  </w:num>
  <w:num w:numId="17">
    <w:abstractNumId w:val="2"/>
  </w:num>
  <w:num w:numId="18">
    <w:abstractNumId w:val="18"/>
  </w:num>
  <w:num w:numId="19">
    <w:abstractNumId w:val="35"/>
  </w:num>
  <w:num w:numId="20">
    <w:abstractNumId w:val="0"/>
  </w:num>
  <w:num w:numId="21">
    <w:abstractNumId w:val="28"/>
  </w:num>
  <w:num w:numId="22">
    <w:abstractNumId w:val="3"/>
  </w:num>
  <w:num w:numId="23">
    <w:abstractNumId w:val="17"/>
  </w:num>
  <w:num w:numId="24">
    <w:abstractNumId w:val="33"/>
  </w:num>
  <w:num w:numId="25">
    <w:abstractNumId w:val="34"/>
  </w:num>
  <w:num w:numId="26">
    <w:abstractNumId w:val="20"/>
  </w:num>
  <w:num w:numId="27">
    <w:abstractNumId w:val="4"/>
  </w:num>
  <w:num w:numId="28">
    <w:abstractNumId w:val="29"/>
  </w:num>
  <w:num w:numId="29">
    <w:abstractNumId w:val="11"/>
  </w:num>
  <w:num w:numId="30">
    <w:abstractNumId w:val="24"/>
  </w:num>
  <w:num w:numId="31">
    <w:abstractNumId w:val="14"/>
  </w:num>
  <w:num w:numId="32">
    <w:abstractNumId w:val="15"/>
  </w:num>
  <w:num w:numId="33">
    <w:abstractNumId w:val="26"/>
  </w:num>
  <w:num w:numId="34">
    <w:abstractNumId w:val="25"/>
  </w:num>
  <w:num w:numId="35">
    <w:abstractNumId w:val="19"/>
  </w:num>
  <w:num w:numId="36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A4935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A792F"/>
    <w:rsid w:val="002C0D46"/>
    <w:rsid w:val="002C2C8B"/>
    <w:rsid w:val="002C3C2B"/>
    <w:rsid w:val="002E0DE3"/>
    <w:rsid w:val="002E5078"/>
    <w:rsid w:val="002F176E"/>
    <w:rsid w:val="002F5DCE"/>
    <w:rsid w:val="0030037D"/>
    <w:rsid w:val="003040A8"/>
    <w:rsid w:val="00310074"/>
    <w:rsid w:val="003216BE"/>
    <w:rsid w:val="00325216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4E2372"/>
    <w:rsid w:val="004F0A55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0377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62AF"/>
    <w:rsid w:val="006D7EBC"/>
    <w:rsid w:val="006E5DA8"/>
    <w:rsid w:val="006F4EF5"/>
    <w:rsid w:val="007004F3"/>
    <w:rsid w:val="00705E42"/>
    <w:rsid w:val="0071757B"/>
    <w:rsid w:val="007339E4"/>
    <w:rsid w:val="0073565F"/>
    <w:rsid w:val="00757DD0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E1D62"/>
    <w:rsid w:val="009F55BD"/>
    <w:rsid w:val="00A05791"/>
    <w:rsid w:val="00A179C1"/>
    <w:rsid w:val="00A27382"/>
    <w:rsid w:val="00A774BA"/>
    <w:rsid w:val="00A870A5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C57F3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14B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6ACE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0947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A50AF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E65E31"/>
  <w15:docId w15:val="{1A597A4F-4A7A-473A-BC59-5DD57319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FD1AA8F867664D9307215204AAB7FC" ma:contentTypeVersion="0" ma:contentTypeDescription="Create a new document." ma:contentTypeScope="" ma:versionID="13348e7d9a9610be1de28511664ab84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1E3052-E33B-4A01-BBE8-564EDBF12F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464BA1-5F06-49AB-B243-07233203F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1079</Words>
  <Characters>6151</Characters>
  <Application>Microsoft Office Word</Application>
  <DocSecurity>2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Zamo Latha</cp:lastModifiedBy>
  <cp:revision>2</cp:revision>
  <cp:lastPrinted>2016-04-25T13:35:00Z</cp:lastPrinted>
  <dcterms:created xsi:type="dcterms:W3CDTF">2022-04-07T10:36:00Z</dcterms:created>
  <dcterms:modified xsi:type="dcterms:W3CDTF">2022-04-07T10:36:00Z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0x010100CBFD1AA8F867664D9307215204AAB7FC</vt:lpwstr>
  </property>
  <property fmtid="{D5CDD505-2E9C-101B-9397-08002B2CF9AE}" pid="3" name="_dlc_DocIdItemGuid">
    <vt:lpwstr>2ae76668-5397-4824-94a3-198d4ac28000</vt:lpwstr>
  </property>
</Properties>
</file>