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8"/>
        <w:gridCol w:w="2892"/>
        <w:gridCol w:w="1756"/>
        <w:gridCol w:w="1706"/>
        <w:gridCol w:w="1704"/>
      </w:tblGrid>
      <w:tr w:rsidR="00D879DA" w:rsidRPr="005A7759" w14:paraId="316AA773" w14:textId="77777777" w:rsidTr="00651CAA">
        <w:tc>
          <w:tcPr>
            <w:tcW w:w="9016" w:type="dxa"/>
            <w:gridSpan w:val="5"/>
            <w:shd w:val="clear" w:color="auto" w:fill="8EAADB" w:themeFill="accent1" w:themeFillTint="99"/>
          </w:tcPr>
          <w:p w14:paraId="47520A87" w14:textId="2DBFCD7B" w:rsidR="00D879DA" w:rsidRPr="00AF05F5" w:rsidRDefault="00784567" w:rsidP="00AF05F5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  <w:r w:rsidR="00C200FA" w:rsidRPr="00AF05F5">
              <w:rPr>
                <w:rFonts w:ascii="Arial" w:hAnsi="Arial" w:cs="Arial"/>
                <w:b/>
                <w:bCs/>
              </w:rPr>
              <w:t>SERVICE LEVELS EXPECTED OF THE SERVICE PROVIDER AND CORRESPONDING PENALTIES FOR SERVICE LEVEL FAILURES</w:t>
            </w:r>
          </w:p>
        </w:tc>
      </w:tr>
      <w:tr w:rsidR="00D879DA" w:rsidRPr="005A7759" w14:paraId="448DE47F" w14:textId="77777777" w:rsidTr="00D95502">
        <w:tc>
          <w:tcPr>
            <w:tcW w:w="958" w:type="dxa"/>
            <w:shd w:val="clear" w:color="auto" w:fill="B4C6E7" w:themeFill="accent1" w:themeFillTint="66"/>
          </w:tcPr>
          <w:p w14:paraId="63A6A86A" w14:textId="168EB557" w:rsidR="00D879DA" w:rsidRPr="00EC1274" w:rsidRDefault="00EC1274" w:rsidP="00DF5D78">
            <w:pPr>
              <w:jc w:val="both"/>
              <w:rPr>
                <w:rFonts w:ascii="Arial" w:hAnsi="Arial" w:cs="Arial"/>
                <w:b/>
                <w:bCs/>
              </w:rPr>
            </w:pPr>
            <w:r w:rsidRPr="00EC1274">
              <w:rPr>
                <w:rFonts w:ascii="Arial" w:hAnsi="Arial" w:cs="Arial"/>
                <w:b/>
                <w:bCs/>
              </w:rPr>
              <w:t>No.</w:t>
            </w:r>
          </w:p>
        </w:tc>
        <w:tc>
          <w:tcPr>
            <w:tcW w:w="2892" w:type="dxa"/>
            <w:shd w:val="clear" w:color="auto" w:fill="B4C6E7" w:themeFill="accent1" w:themeFillTint="66"/>
          </w:tcPr>
          <w:p w14:paraId="592CB43A" w14:textId="77777777" w:rsidR="00D879DA" w:rsidRPr="00EC1274" w:rsidRDefault="00D879DA" w:rsidP="00DF5D78">
            <w:pPr>
              <w:jc w:val="both"/>
              <w:rPr>
                <w:rFonts w:ascii="Arial" w:hAnsi="Arial" w:cs="Arial"/>
                <w:b/>
                <w:bCs/>
              </w:rPr>
            </w:pPr>
            <w:r w:rsidRPr="00EC1274">
              <w:rPr>
                <w:rFonts w:ascii="Arial" w:hAnsi="Arial" w:cs="Arial"/>
                <w:b/>
                <w:bCs/>
              </w:rPr>
              <w:t>COLUMN A</w:t>
            </w:r>
          </w:p>
          <w:p w14:paraId="0B97C8D9" w14:textId="78AB1BD5" w:rsidR="00D879DA" w:rsidRPr="00EC1274" w:rsidRDefault="00D879DA" w:rsidP="00DF5D78">
            <w:pPr>
              <w:jc w:val="both"/>
              <w:rPr>
                <w:rFonts w:ascii="Arial" w:hAnsi="Arial" w:cs="Arial"/>
                <w:b/>
                <w:bCs/>
              </w:rPr>
            </w:pPr>
            <w:r w:rsidRPr="00EC1274">
              <w:rPr>
                <w:rFonts w:ascii="Arial" w:hAnsi="Arial" w:cs="Arial"/>
                <w:b/>
                <w:bCs/>
              </w:rPr>
              <w:t>Service Level Description</w:t>
            </w:r>
          </w:p>
        </w:tc>
        <w:tc>
          <w:tcPr>
            <w:tcW w:w="1756" w:type="dxa"/>
            <w:shd w:val="clear" w:color="auto" w:fill="B4C6E7" w:themeFill="accent1" w:themeFillTint="66"/>
          </w:tcPr>
          <w:p w14:paraId="75507756" w14:textId="77777777" w:rsidR="00D879DA" w:rsidRPr="00EC1274" w:rsidRDefault="00D879DA" w:rsidP="00DF5D78">
            <w:pPr>
              <w:jc w:val="both"/>
              <w:rPr>
                <w:rFonts w:ascii="Arial" w:hAnsi="Arial" w:cs="Arial"/>
                <w:b/>
                <w:bCs/>
              </w:rPr>
            </w:pPr>
            <w:r w:rsidRPr="00EC1274">
              <w:rPr>
                <w:rFonts w:ascii="Arial" w:hAnsi="Arial" w:cs="Arial"/>
                <w:b/>
                <w:bCs/>
              </w:rPr>
              <w:t>COLUMN B</w:t>
            </w:r>
          </w:p>
          <w:p w14:paraId="5900D43E" w14:textId="5BF38E12" w:rsidR="00D879DA" w:rsidRPr="00EC1274" w:rsidRDefault="00D879DA" w:rsidP="00DF5D78">
            <w:pPr>
              <w:jc w:val="both"/>
              <w:rPr>
                <w:rFonts w:ascii="Arial" w:hAnsi="Arial" w:cs="Arial"/>
                <w:b/>
                <w:bCs/>
              </w:rPr>
            </w:pPr>
            <w:r w:rsidRPr="00EC1274">
              <w:rPr>
                <w:rFonts w:ascii="Arial" w:hAnsi="Arial" w:cs="Arial"/>
                <w:b/>
                <w:bCs/>
              </w:rPr>
              <w:t>Service Level</w:t>
            </w:r>
          </w:p>
        </w:tc>
        <w:tc>
          <w:tcPr>
            <w:tcW w:w="1706" w:type="dxa"/>
            <w:shd w:val="clear" w:color="auto" w:fill="B4C6E7" w:themeFill="accent1" w:themeFillTint="66"/>
          </w:tcPr>
          <w:p w14:paraId="64AFF5E8" w14:textId="77777777" w:rsidR="00D879DA" w:rsidRPr="00EC1274" w:rsidRDefault="00D879DA" w:rsidP="00DF5D78">
            <w:pPr>
              <w:jc w:val="both"/>
              <w:rPr>
                <w:rFonts w:ascii="Arial" w:hAnsi="Arial" w:cs="Arial"/>
                <w:b/>
                <w:bCs/>
              </w:rPr>
            </w:pPr>
            <w:r w:rsidRPr="00EC1274">
              <w:rPr>
                <w:rFonts w:ascii="Arial" w:hAnsi="Arial" w:cs="Arial"/>
                <w:b/>
                <w:bCs/>
              </w:rPr>
              <w:t>COLUMN C</w:t>
            </w:r>
          </w:p>
          <w:p w14:paraId="0FDB3D32" w14:textId="13467651" w:rsidR="00D879DA" w:rsidRPr="00EC1274" w:rsidRDefault="00D879DA" w:rsidP="00DF5D78">
            <w:pPr>
              <w:jc w:val="both"/>
              <w:rPr>
                <w:rFonts w:ascii="Arial" w:hAnsi="Arial" w:cs="Arial"/>
                <w:b/>
                <w:bCs/>
              </w:rPr>
            </w:pPr>
            <w:r w:rsidRPr="00EC1274">
              <w:rPr>
                <w:rFonts w:ascii="Arial" w:hAnsi="Arial" w:cs="Arial"/>
                <w:b/>
                <w:bCs/>
              </w:rPr>
              <w:t>Service Level Failure</w:t>
            </w:r>
          </w:p>
        </w:tc>
        <w:tc>
          <w:tcPr>
            <w:tcW w:w="1704" w:type="dxa"/>
            <w:shd w:val="clear" w:color="auto" w:fill="B4C6E7" w:themeFill="accent1" w:themeFillTint="66"/>
          </w:tcPr>
          <w:p w14:paraId="54ABF09D" w14:textId="77777777" w:rsidR="00D879DA" w:rsidRPr="00EC1274" w:rsidRDefault="00D879DA" w:rsidP="00DF5D78">
            <w:pPr>
              <w:jc w:val="both"/>
              <w:rPr>
                <w:rFonts w:ascii="Arial" w:hAnsi="Arial" w:cs="Arial"/>
                <w:b/>
                <w:bCs/>
              </w:rPr>
            </w:pPr>
            <w:r w:rsidRPr="00EC1274">
              <w:rPr>
                <w:rFonts w:ascii="Arial" w:hAnsi="Arial" w:cs="Arial"/>
                <w:b/>
                <w:bCs/>
              </w:rPr>
              <w:t>COLUMN D</w:t>
            </w:r>
          </w:p>
          <w:p w14:paraId="68C76581" w14:textId="0ABD263F" w:rsidR="00D879DA" w:rsidRPr="00EC1274" w:rsidRDefault="00D879DA" w:rsidP="00DF5D78">
            <w:pPr>
              <w:jc w:val="both"/>
              <w:rPr>
                <w:rFonts w:ascii="Arial" w:hAnsi="Arial" w:cs="Arial"/>
                <w:b/>
                <w:bCs/>
              </w:rPr>
            </w:pPr>
            <w:r w:rsidRPr="00EC1274">
              <w:rPr>
                <w:rFonts w:ascii="Arial" w:hAnsi="Arial" w:cs="Arial"/>
                <w:b/>
                <w:bCs/>
              </w:rPr>
              <w:t>Financial Penalty</w:t>
            </w:r>
          </w:p>
        </w:tc>
      </w:tr>
      <w:tr w:rsidR="00EC1274" w:rsidRPr="005A7759" w14:paraId="68AF2D88" w14:textId="77777777" w:rsidTr="00D95502">
        <w:tc>
          <w:tcPr>
            <w:tcW w:w="958" w:type="dxa"/>
            <w:shd w:val="clear" w:color="auto" w:fill="D9E2F3" w:themeFill="accent1" w:themeFillTint="33"/>
          </w:tcPr>
          <w:p w14:paraId="27CEFE01" w14:textId="65A1B1E5" w:rsidR="00EC1274" w:rsidRPr="00EC1274" w:rsidRDefault="00EC1274" w:rsidP="00F10893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58" w:type="dxa"/>
            <w:gridSpan w:val="4"/>
            <w:shd w:val="clear" w:color="auto" w:fill="D9E2F3" w:themeFill="accent1" w:themeFillTint="33"/>
          </w:tcPr>
          <w:p w14:paraId="26215B10" w14:textId="029009D5" w:rsidR="00EC1274" w:rsidRPr="00EC1274" w:rsidRDefault="00407458" w:rsidP="00EC127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Panel Meetings</w:t>
            </w:r>
            <w:r w:rsidR="00AF05F5">
              <w:rPr>
                <w:rFonts w:ascii="Arial" w:hAnsi="Arial" w:cs="Arial"/>
                <w:b/>
                <w:bCs/>
              </w:rPr>
              <w:t xml:space="preserve"> and Administration </w:t>
            </w:r>
          </w:p>
        </w:tc>
      </w:tr>
      <w:tr w:rsidR="00D879DA" w:rsidRPr="005A7759" w14:paraId="11242AB6" w14:textId="77777777" w:rsidTr="00D95502">
        <w:tc>
          <w:tcPr>
            <w:tcW w:w="958" w:type="dxa"/>
          </w:tcPr>
          <w:p w14:paraId="1283C5CA" w14:textId="2BFEA828" w:rsidR="00D879DA" w:rsidRPr="005A7759" w:rsidRDefault="00557DF9" w:rsidP="005A7759">
            <w:pPr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1.1</w:t>
            </w:r>
          </w:p>
        </w:tc>
        <w:tc>
          <w:tcPr>
            <w:tcW w:w="2892" w:type="dxa"/>
          </w:tcPr>
          <w:p w14:paraId="64478E34" w14:textId="3FE99910" w:rsidR="00D879DA" w:rsidRPr="005A7759" w:rsidRDefault="00557DF9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Attend Extended Sick Leave (ESL)</w:t>
            </w:r>
            <w:r w:rsidR="00283A59">
              <w:rPr>
                <w:rFonts w:ascii="Arial" w:hAnsi="Arial" w:cs="Arial"/>
              </w:rPr>
              <w:t>, Full Health Assessment</w:t>
            </w:r>
            <w:r w:rsidRPr="005A7759">
              <w:rPr>
                <w:rFonts w:ascii="Arial" w:hAnsi="Arial" w:cs="Arial"/>
              </w:rPr>
              <w:t xml:space="preserve"> and Ill Health Retirement application </w:t>
            </w:r>
            <w:r w:rsidR="00283A59">
              <w:rPr>
                <w:rFonts w:ascii="Arial" w:hAnsi="Arial" w:cs="Arial"/>
              </w:rPr>
              <w:t>m</w:t>
            </w:r>
            <w:r w:rsidRPr="005A7759">
              <w:rPr>
                <w:rFonts w:ascii="Arial" w:hAnsi="Arial" w:cs="Arial"/>
              </w:rPr>
              <w:t>eetings</w:t>
            </w:r>
            <w:r w:rsidR="00F10893">
              <w:rPr>
                <w:rFonts w:ascii="Arial" w:hAnsi="Arial" w:cs="Arial"/>
              </w:rPr>
              <w:t>.</w:t>
            </w:r>
          </w:p>
        </w:tc>
        <w:tc>
          <w:tcPr>
            <w:tcW w:w="1756" w:type="dxa"/>
          </w:tcPr>
          <w:p w14:paraId="28274718" w14:textId="59388338" w:rsidR="00D879DA" w:rsidRPr="005A7759" w:rsidRDefault="00557DF9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 xml:space="preserve">As and when required.  The Service </w:t>
            </w:r>
            <w:r w:rsidR="00F10893">
              <w:rPr>
                <w:rFonts w:ascii="Arial" w:hAnsi="Arial" w:cs="Arial"/>
              </w:rPr>
              <w:t>P</w:t>
            </w:r>
            <w:r w:rsidRPr="005A7759">
              <w:rPr>
                <w:rFonts w:ascii="Arial" w:hAnsi="Arial" w:cs="Arial"/>
              </w:rPr>
              <w:t>rovider must be proactive and request meetings</w:t>
            </w:r>
            <w:r w:rsidR="00F10893">
              <w:rPr>
                <w:rFonts w:ascii="Arial" w:hAnsi="Arial" w:cs="Arial"/>
              </w:rPr>
              <w:t>,</w:t>
            </w:r>
            <w:r w:rsidRPr="005A7759">
              <w:rPr>
                <w:rFonts w:ascii="Arial" w:hAnsi="Arial" w:cs="Arial"/>
              </w:rPr>
              <w:t xml:space="preserve"> where such are necessary</w:t>
            </w:r>
            <w:r w:rsidR="00F10893">
              <w:rPr>
                <w:rFonts w:ascii="Arial" w:hAnsi="Arial" w:cs="Arial"/>
              </w:rPr>
              <w:t>,</w:t>
            </w:r>
            <w:r w:rsidRPr="005A7759">
              <w:rPr>
                <w:rFonts w:ascii="Arial" w:hAnsi="Arial" w:cs="Arial"/>
              </w:rPr>
              <w:t xml:space="preserve"> for it to efficiently execute its obligations in terms of the Agreement.</w:t>
            </w:r>
          </w:p>
        </w:tc>
        <w:tc>
          <w:tcPr>
            <w:tcW w:w="1706" w:type="dxa"/>
          </w:tcPr>
          <w:p w14:paraId="05DF3445" w14:textId="6DE75256" w:rsidR="00D879DA" w:rsidRPr="005A7759" w:rsidRDefault="00557DF9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Failure to attend an ESL panel meeting</w:t>
            </w:r>
            <w:r w:rsidR="00F10893">
              <w:rPr>
                <w:rFonts w:ascii="Arial" w:hAnsi="Arial" w:cs="Arial"/>
              </w:rPr>
              <w:t>.</w:t>
            </w:r>
          </w:p>
        </w:tc>
        <w:tc>
          <w:tcPr>
            <w:tcW w:w="1704" w:type="dxa"/>
          </w:tcPr>
          <w:p w14:paraId="5EE4F8A8" w14:textId="5E4EAD5E" w:rsidR="00D879DA" w:rsidRPr="005A7759" w:rsidRDefault="00D879DA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10% of the unit price of an ESL application</w:t>
            </w:r>
            <w:r w:rsidR="00F10893">
              <w:rPr>
                <w:rFonts w:ascii="Arial" w:hAnsi="Arial" w:cs="Arial"/>
              </w:rPr>
              <w:t>.</w:t>
            </w:r>
          </w:p>
        </w:tc>
      </w:tr>
      <w:tr w:rsidR="00557DF9" w:rsidRPr="005A7759" w14:paraId="6618D46D" w14:textId="77777777" w:rsidTr="00D95502">
        <w:tc>
          <w:tcPr>
            <w:tcW w:w="958" w:type="dxa"/>
            <w:vMerge w:val="restart"/>
          </w:tcPr>
          <w:p w14:paraId="33874E40" w14:textId="18E8354D" w:rsidR="00557DF9" w:rsidRPr="005A7759" w:rsidRDefault="00557DF9" w:rsidP="005A7759">
            <w:pPr>
              <w:rPr>
                <w:rFonts w:ascii="Arial" w:hAnsi="Arial" w:cs="Arial"/>
              </w:rPr>
            </w:pPr>
            <w:bookmarkStart w:id="0" w:name="_Hlk171428169"/>
            <w:r w:rsidRPr="005A7759">
              <w:rPr>
                <w:rFonts w:ascii="Arial" w:hAnsi="Arial" w:cs="Arial"/>
              </w:rPr>
              <w:t>1.2</w:t>
            </w:r>
          </w:p>
        </w:tc>
        <w:tc>
          <w:tcPr>
            <w:tcW w:w="2892" w:type="dxa"/>
            <w:vMerge w:val="restart"/>
          </w:tcPr>
          <w:p w14:paraId="68D1C7B0" w14:textId="0B5DE05E" w:rsidR="00557DF9" w:rsidRPr="005A7759" w:rsidRDefault="00557DF9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 xml:space="preserve">Delivery of ESL adjudication outcomes or opinion (where an ESL </w:t>
            </w:r>
            <w:r w:rsidR="00EC1274" w:rsidRPr="005A7759">
              <w:rPr>
                <w:rFonts w:ascii="Arial" w:hAnsi="Arial" w:cs="Arial"/>
              </w:rPr>
              <w:t xml:space="preserve">panel </w:t>
            </w:r>
            <w:r w:rsidRPr="005A7759">
              <w:rPr>
                <w:rFonts w:ascii="Arial" w:hAnsi="Arial" w:cs="Arial"/>
              </w:rPr>
              <w:t>meeting is not required)</w:t>
            </w:r>
            <w:r w:rsidR="00F10893">
              <w:rPr>
                <w:rFonts w:ascii="Arial" w:hAnsi="Arial" w:cs="Arial"/>
              </w:rPr>
              <w:t>.</w:t>
            </w:r>
          </w:p>
        </w:tc>
        <w:tc>
          <w:tcPr>
            <w:tcW w:w="1756" w:type="dxa"/>
            <w:vMerge w:val="restart"/>
          </w:tcPr>
          <w:p w14:paraId="52E68DFE" w14:textId="58605E09" w:rsidR="00557DF9" w:rsidRPr="005A7759" w:rsidRDefault="00557DF9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Ten (10) Business Days after receipt by the Service Provider of an ESL application (Response Time)</w:t>
            </w:r>
            <w:r w:rsidR="00F10893">
              <w:rPr>
                <w:rFonts w:ascii="Arial" w:hAnsi="Arial" w:cs="Arial"/>
              </w:rPr>
              <w:t>.</w:t>
            </w:r>
          </w:p>
        </w:tc>
        <w:tc>
          <w:tcPr>
            <w:tcW w:w="1706" w:type="dxa"/>
          </w:tcPr>
          <w:p w14:paraId="71E2280E" w14:textId="329D8130" w:rsidR="00557DF9" w:rsidRPr="005A7759" w:rsidRDefault="00557DF9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Outcomes or opinion delivered two (2)</w:t>
            </w:r>
            <w:r w:rsidR="00F10893">
              <w:rPr>
                <w:rFonts w:ascii="Arial" w:hAnsi="Arial" w:cs="Arial"/>
              </w:rPr>
              <w:t xml:space="preserve"> </w:t>
            </w:r>
            <w:r w:rsidRPr="005A7759">
              <w:rPr>
                <w:rFonts w:ascii="Arial" w:hAnsi="Arial" w:cs="Arial"/>
              </w:rPr>
              <w:t>Business Days</w:t>
            </w:r>
            <w:r w:rsidR="00F10893">
              <w:rPr>
                <w:rFonts w:ascii="Arial" w:hAnsi="Arial" w:cs="Arial"/>
              </w:rPr>
              <w:t>,</w:t>
            </w:r>
            <w:r w:rsidRPr="005A7759">
              <w:rPr>
                <w:rFonts w:ascii="Arial" w:hAnsi="Arial" w:cs="Arial"/>
              </w:rPr>
              <w:t xml:space="preserve"> but less than four (4) Business Days after the Response Time.</w:t>
            </w:r>
          </w:p>
        </w:tc>
        <w:tc>
          <w:tcPr>
            <w:tcW w:w="1704" w:type="dxa"/>
          </w:tcPr>
          <w:p w14:paraId="0C2798AD" w14:textId="69C8B475" w:rsidR="00557DF9" w:rsidRPr="005A7759" w:rsidRDefault="00557DF9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10% of the unit price of an ESL application</w:t>
            </w:r>
            <w:r w:rsidR="00F10893">
              <w:rPr>
                <w:rFonts w:ascii="Arial" w:hAnsi="Arial" w:cs="Arial"/>
              </w:rPr>
              <w:t>.</w:t>
            </w:r>
          </w:p>
        </w:tc>
      </w:tr>
      <w:tr w:rsidR="00557DF9" w:rsidRPr="005A7759" w14:paraId="5AEB9051" w14:textId="77777777" w:rsidTr="00D95502">
        <w:tc>
          <w:tcPr>
            <w:tcW w:w="958" w:type="dxa"/>
            <w:vMerge/>
          </w:tcPr>
          <w:p w14:paraId="619A408C" w14:textId="77777777" w:rsidR="00557DF9" w:rsidRPr="005A7759" w:rsidRDefault="00557DF9" w:rsidP="005A7759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  <w:vMerge/>
          </w:tcPr>
          <w:p w14:paraId="75AB2AB9" w14:textId="77777777" w:rsidR="00557DF9" w:rsidRPr="005A7759" w:rsidRDefault="00557DF9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56" w:type="dxa"/>
            <w:vMerge/>
          </w:tcPr>
          <w:p w14:paraId="429302AD" w14:textId="77777777" w:rsidR="00557DF9" w:rsidRPr="005A7759" w:rsidRDefault="00557DF9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dxa"/>
          </w:tcPr>
          <w:p w14:paraId="1CDA9046" w14:textId="70B059CD" w:rsidR="00557DF9" w:rsidRPr="005A7759" w:rsidRDefault="00557DF9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Outcomes or opinion delivered f</w:t>
            </w:r>
            <w:r w:rsidR="001A2F74">
              <w:rPr>
                <w:rFonts w:ascii="Arial" w:hAnsi="Arial" w:cs="Arial"/>
              </w:rPr>
              <w:t>our</w:t>
            </w:r>
            <w:r w:rsidRPr="005A7759">
              <w:rPr>
                <w:rFonts w:ascii="Arial" w:hAnsi="Arial" w:cs="Arial"/>
              </w:rPr>
              <w:t xml:space="preserve"> (</w:t>
            </w:r>
            <w:r w:rsidR="001A2F74">
              <w:rPr>
                <w:rFonts w:ascii="Arial" w:hAnsi="Arial" w:cs="Arial"/>
              </w:rPr>
              <w:t>4</w:t>
            </w:r>
            <w:r w:rsidRPr="005A7759">
              <w:rPr>
                <w:rFonts w:ascii="Arial" w:hAnsi="Arial" w:cs="Arial"/>
              </w:rPr>
              <w:t xml:space="preserve">) Business Days </w:t>
            </w:r>
            <w:r w:rsidR="00F10893">
              <w:rPr>
                <w:rFonts w:ascii="Arial" w:hAnsi="Arial" w:cs="Arial"/>
              </w:rPr>
              <w:t xml:space="preserve">or more, </w:t>
            </w:r>
            <w:r w:rsidRPr="005A7759">
              <w:rPr>
                <w:rFonts w:ascii="Arial" w:hAnsi="Arial" w:cs="Arial"/>
              </w:rPr>
              <w:t>but less than eight (8) Business Days after the Response Time.</w:t>
            </w:r>
          </w:p>
        </w:tc>
        <w:tc>
          <w:tcPr>
            <w:tcW w:w="1704" w:type="dxa"/>
          </w:tcPr>
          <w:p w14:paraId="07DD96B7" w14:textId="53BFE48A" w:rsidR="00557DF9" w:rsidRPr="005A7759" w:rsidRDefault="00557DF9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15% of the unit price of an ESL application</w:t>
            </w:r>
            <w:r w:rsidR="00F10893">
              <w:rPr>
                <w:rFonts w:ascii="Arial" w:hAnsi="Arial" w:cs="Arial"/>
              </w:rPr>
              <w:t>.</w:t>
            </w:r>
          </w:p>
        </w:tc>
      </w:tr>
      <w:tr w:rsidR="00557DF9" w:rsidRPr="005A7759" w14:paraId="48B4E90F" w14:textId="77777777" w:rsidTr="00D95502">
        <w:tc>
          <w:tcPr>
            <w:tcW w:w="958" w:type="dxa"/>
            <w:vMerge/>
          </w:tcPr>
          <w:p w14:paraId="1A0C6937" w14:textId="77777777" w:rsidR="00557DF9" w:rsidRPr="005A7759" w:rsidRDefault="00557DF9" w:rsidP="005A7759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  <w:vMerge/>
          </w:tcPr>
          <w:p w14:paraId="692D2B22" w14:textId="77777777" w:rsidR="00557DF9" w:rsidRPr="005A7759" w:rsidRDefault="00557DF9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56" w:type="dxa"/>
            <w:vMerge/>
          </w:tcPr>
          <w:p w14:paraId="04DCB47C" w14:textId="77777777" w:rsidR="00557DF9" w:rsidRPr="005A7759" w:rsidRDefault="00557DF9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dxa"/>
          </w:tcPr>
          <w:p w14:paraId="2204B990" w14:textId="1C19974C" w:rsidR="00557DF9" w:rsidRPr="005A7759" w:rsidRDefault="00557DF9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 xml:space="preserve">Outcomes or opinion delivered eight (8) Business Days </w:t>
            </w:r>
            <w:r w:rsidR="00FE1AE9">
              <w:rPr>
                <w:rFonts w:ascii="Arial" w:hAnsi="Arial" w:cs="Arial"/>
              </w:rPr>
              <w:t xml:space="preserve">or more </w:t>
            </w:r>
            <w:r w:rsidRPr="005A7759">
              <w:rPr>
                <w:rFonts w:ascii="Arial" w:hAnsi="Arial" w:cs="Arial"/>
              </w:rPr>
              <w:t>after the Response Time</w:t>
            </w:r>
            <w:r w:rsidR="00F10893">
              <w:rPr>
                <w:rFonts w:ascii="Arial" w:hAnsi="Arial" w:cs="Arial"/>
              </w:rPr>
              <w:t>.</w:t>
            </w:r>
          </w:p>
        </w:tc>
        <w:tc>
          <w:tcPr>
            <w:tcW w:w="1704" w:type="dxa"/>
          </w:tcPr>
          <w:p w14:paraId="2A4F8BDA" w14:textId="03AF5B87" w:rsidR="00557DF9" w:rsidRPr="005A7759" w:rsidRDefault="00557DF9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20% of the unit price of an ESL application</w:t>
            </w:r>
            <w:r w:rsidR="00F10893">
              <w:rPr>
                <w:rFonts w:ascii="Arial" w:hAnsi="Arial" w:cs="Arial"/>
              </w:rPr>
              <w:t>.</w:t>
            </w:r>
          </w:p>
        </w:tc>
      </w:tr>
      <w:bookmarkEnd w:id="0"/>
      <w:tr w:rsidR="00214821" w:rsidRPr="005A7759" w14:paraId="08468586" w14:textId="77777777" w:rsidTr="00D95502">
        <w:tc>
          <w:tcPr>
            <w:tcW w:w="958" w:type="dxa"/>
            <w:vMerge w:val="restart"/>
          </w:tcPr>
          <w:p w14:paraId="5F5DCD7F" w14:textId="602EDE3A" w:rsidR="00214821" w:rsidRPr="005A7759" w:rsidRDefault="00214821" w:rsidP="005A7759">
            <w:pPr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1.3</w:t>
            </w:r>
          </w:p>
        </w:tc>
        <w:tc>
          <w:tcPr>
            <w:tcW w:w="2892" w:type="dxa"/>
            <w:vMerge w:val="restart"/>
          </w:tcPr>
          <w:p w14:paraId="2CA1744E" w14:textId="537D2B00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Delivery of ESL adjudication outcomes or opinion (where an ESL panel meeting is required</w:t>
            </w:r>
            <w:r w:rsidR="00F10893">
              <w:rPr>
                <w:rFonts w:ascii="Arial" w:hAnsi="Arial" w:cs="Arial"/>
              </w:rPr>
              <w:t>).</w:t>
            </w:r>
          </w:p>
        </w:tc>
        <w:tc>
          <w:tcPr>
            <w:tcW w:w="1756" w:type="dxa"/>
            <w:vMerge w:val="restart"/>
          </w:tcPr>
          <w:p w14:paraId="48F78EC8" w14:textId="67C23CBB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 xml:space="preserve">Ten (10) Business Days after an ESL panel meeting </w:t>
            </w:r>
            <w:r w:rsidRPr="005A7759">
              <w:rPr>
                <w:rFonts w:ascii="Arial" w:hAnsi="Arial" w:cs="Arial"/>
              </w:rPr>
              <w:lastRenderedPageBreak/>
              <w:t>(Response Time)</w:t>
            </w:r>
            <w:r w:rsidR="00407458">
              <w:rPr>
                <w:rFonts w:ascii="Arial" w:hAnsi="Arial" w:cs="Arial"/>
              </w:rPr>
              <w:t>.</w:t>
            </w:r>
          </w:p>
        </w:tc>
        <w:tc>
          <w:tcPr>
            <w:tcW w:w="1706" w:type="dxa"/>
          </w:tcPr>
          <w:p w14:paraId="5C2D5C35" w14:textId="1D4E9606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lastRenderedPageBreak/>
              <w:t>Outcomes or opinion delivered two (2) Business Days</w:t>
            </w:r>
            <w:r w:rsidR="00407458">
              <w:rPr>
                <w:rFonts w:ascii="Arial" w:hAnsi="Arial" w:cs="Arial"/>
              </w:rPr>
              <w:t>,</w:t>
            </w:r>
            <w:r w:rsidRPr="005A7759">
              <w:rPr>
                <w:rFonts w:ascii="Arial" w:hAnsi="Arial" w:cs="Arial"/>
              </w:rPr>
              <w:t xml:space="preserve"> but less </w:t>
            </w:r>
            <w:r w:rsidRPr="005A7759">
              <w:rPr>
                <w:rFonts w:ascii="Arial" w:hAnsi="Arial" w:cs="Arial"/>
              </w:rPr>
              <w:lastRenderedPageBreak/>
              <w:t>than four (4) Business Days after the Response Time.</w:t>
            </w:r>
          </w:p>
        </w:tc>
        <w:tc>
          <w:tcPr>
            <w:tcW w:w="1704" w:type="dxa"/>
          </w:tcPr>
          <w:p w14:paraId="53373704" w14:textId="7956F1E7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lastRenderedPageBreak/>
              <w:t>10% of the unit price of an ESL application</w:t>
            </w:r>
            <w:r w:rsidR="00F10893">
              <w:rPr>
                <w:rFonts w:ascii="Arial" w:hAnsi="Arial" w:cs="Arial"/>
              </w:rPr>
              <w:t>.</w:t>
            </w:r>
          </w:p>
        </w:tc>
      </w:tr>
      <w:tr w:rsidR="00214821" w:rsidRPr="005A7759" w14:paraId="506B4D52" w14:textId="77777777" w:rsidTr="00D95502">
        <w:tc>
          <w:tcPr>
            <w:tcW w:w="958" w:type="dxa"/>
            <w:vMerge/>
          </w:tcPr>
          <w:p w14:paraId="147D1CD4" w14:textId="77777777" w:rsidR="00214821" w:rsidRPr="005A7759" w:rsidRDefault="00214821" w:rsidP="005A7759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  <w:vMerge/>
          </w:tcPr>
          <w:p w14:paraId="1EC7BEDE" w14:textId="77777777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56" w:type="dxa"/>
            <w:vMerge/>
          </w:tcPr>
          <w:p w14:paraId="6FF219EC" w14:textId="77777777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dxa"/>
          </w:tcPr>
          <w:p w14:paraId="35D95351" w14:textId="6ADE2870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Outcomes or opinion delivered more than five (5) Business Days</w:t>
            </w:r>
            <w:r w:rsidR="00407458">
              <w:rPr>
                <w:rFonts w:ascii="Arial" w:hAnsi="Arial" w:cs="Arial"/>
              </w:rPr>
              <w:t>,</w:t>
            </w:r>
            <w:r w:rsidRPr="005A7759">
              <w:rPr>
                <w:rFonts w:ascii="Arial" w:hAnsi="Arial" w:cs="Arial"/>
              </w:rPr>
              <w:t xml:space="preserve"> but less than eight (8) Business Days after the Response Time.</w:t>
            </w:r>
          </w:p>
        </w:tc>
        <w:tc>
          <w:tcPr>
            <w:tcW w:w="1704" w:type="dxa"/>
          </w:tcPr>
          <w:p w14:paraId="6D5E2982" w14:textId="178B1D09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15% of the unit price of an ESL application</w:t>
            </w:r>
            <w:r w:rsidR="00F10893">
              <w:rPr>
                <w:rFonts w:ascii="Arial" w:hAnsi="Arial" w:cs="Arial"/>
              </w:rPr>
              <w:t>.</w:t>
            </w:r>
          </w:p>
        </w:tc>
      </w:tr>
      <w:tr w:rsidR="00214821" w:rsidRPr="005A7759" w14:paraId="7A26B553" w14:textId="77777777" w:rsidTr="00D95502">
        <w:tc>
          <w:tcPr>
            <w:tcW w:w="958" w:type="dxa"/>
            <w:vMerge/>
          </w:tcPr>
          <w:p w14:paraId="6DB4E334" w14:textId="77777777" w:rsidR="00214821" w:rsidRPr="005A7759" w:rsidRDefault="00214821" w:rsidP="005A7759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  <w:vMerge/>
          </w:tcPr>
          <w:p w14:paraId="4F7D4204" w14:textId="77777777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56" w:type="dxa"/>
            <w:vMerge/>
          </w:tcPr>
          <w:p w14:paraId="135A84AC" w14:textId="77777777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dxa"/>
          </w:tcPr>
          <w:p w14:paraId="12A07F92" w14:textId="04C331A0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 xml:space="preserve">Outcomes or opinions delivered eight (8) </w:t>
            </w:r>
            <w:r w:rsidR="00BB251B">
              <w:rPr>
                <w:rFonts w:ascii="Arial" w:hAnsi="Arial" w:cs="Arial"/>
              </w:rPr>
              <w:t xml:space="preserve">or </w:t>
            </w:r>
            <w:r w:rsidR="00BB251B" w:rsidRPr="005A7759">
              <w:rPr>
                <w:rFonts w:ascii="Arial" w:hAnsi="Arial" w:cs="Arial"/>
              </w:rPr>
              <w:t xml:space="preserve">more </w:t>
            </w:r>
            <w:r w:rsidRPr="005A7759">
              <w:rPr>
                <w:rFonts w:ascii="Arial" w:hAnsi="Arial" w:cs="Arial"/>
              </w:rPr>
              <w:t>Business Days after the Response Time.</w:t>
            </w:r>
          </w:p>
        </w:tc>
        <w:tc>
          <w:tcPr>
            <w:tcW w:w="1704" w:type="dxa"/>
          </w:tcPr>
          <w:p w14:paraId="324AC9A6" w14:textId="4EE5AE52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20% of the unit price of an ESL application</w:t>
            </w:r>
            <w:r w:rsidR="00F10893">
              <w:rPr>
                <w:rFonts w:ascii="Arial" w:hAnsi="Arial" w:cs="Arial"/>
              </w:rPr>
              <w:t>.</w:t>
            </w:r>
          </w:p>
        </w:tc>
      </w:tr>
      <w:tr w:rsidR="00D95502" w:rsidRPr="005A7759" w14:paraId="7F7B5C78" w14:textId="77777777" w:rsidTr="00D95502">
        <w:tc>
          <w:tcPr>
            <w:tcW w:w="958" w:type="dxa"/>
            <w:vMerge w:val="restart"/>
          </w:tcPr>
          <w:p w14:paraId="3539E91C" w14:textId="172FAC61" w:rsidR="00D95502" w:rsidRPr="005A7759" w:rsidRDefault="00D95502" w:rsidP="00D955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2892" w:type="dxa"/>
            <w:vMerge w:val="restart"/>
          </w:tcPr>
          <w:p w14:paraId="09B0AF71" w14:textId="4BFD0757" w:rsidR="00D95502" w:rsidRPr="005A7759" w:rsidRDefault="0066184F" w:rsidP="00D9550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Delivery of </w:t>
            </w:r>
            <w:r w:rsidR="00D95502">
              <w:rPr>
                <w:rFonts w:ascii="Arial" w:hAnsi="Arial" w:cs="Arial"/>
              </w:rPr>
              <w:t>outcome</w:t>
            </w:r>
            <w:r w:rsidR="00D95502" w:rsidRPr="00D95502">
              <w:rPr>
                <w:rFonts w:ascii="Arial" w:hAnsi="Arial" w:cs="Arial"/>
              </w:rPr>
              <w:t xml:space="preserve"> of Extended Sick Leave Appeals</w:t>
            </w:r>
          </w:p>
        </w:tc>
        <w:tc>
          <w:tcPr>
            <w:tcW w:w="1756" w:type="dxa"/>
            <w:vMerge w:val="restart"/>
          </w:tcPr>
          <w:p w14:paraId="5A47347A" w14:textId="0905E660" w:rsidR="00D95502" w:rsidRPr="005A7759" w:rsidRDefault="00D95502" w:rsidP="00D95502">
            <w:pPr>
              <w:jc w:val="both"/>
              <w:rPr>
                <w:rFonts w:ascii="Arial" w:hAnsi="Arial" w:cs="Arial"/>
              </w:rPr>
            </w:pPr>
            <w:r w:rsidRPr="00D95502">
              <w:rPr>
                <w:rFonts w:ascii="Arial" w:hAnsi="Arial" w:cs="Arial"/>
              </w:rPr>
              <w:t>Ten (10) Business Days after receipt by the Service Provider of an ESL app</w:t>
            </w:r>
            <w:r>
              <w:rPr>
                <w:rFonts w:ascii="Arial" w:hAnsi="Arial" w:cs="Arial"/>
              </w:rPr>
              <w:t>ea</w:t>
            </w:r>
            <w:r w:rsidRPr="00D95502">
              <w:rPr>
                <w:rFonts w:ascii="Arial" w:hAnsi="Arial" w:cs="Arial"/>
              </w:rPr>
              <w:t>l (Response Time).</w:t>
            </w:r>
          </w:p>
        </w:tc>
        <w:tc>
          <w:tcPr>
            <w:tcW w:w="1706" w:type="dxa"/>
          </w:tcPr>
          <w:p w14:paraId="78B50F86" w14:textId="6D9E3374" w:rsidR="00D95502" w:rsidRPr="005A7759" w:rsidRDefault="00D95502" w:rsidP="00D95502">
            <w:pPr>
              <w:jc w:val="both"/>
              <w:rPr>
                <w:rFonts w:ascii="Arial" w:hAnsi="Arial" w:cs="Arial"/>
              </w:rPr>
            </w:pPr>
            <w:r w:rsidRPr="001F5816">
              <w:rPr>
                <w:rFonts w:ascii="Arial" w:hAnsi="Arial" w:cs="Arial"/>
              </w:rPr>
              <w:t>Outcome delivered two (2) Business Days, but less than four (4) Business Days after the Response Time.</w:t>
            </w:r>
          </w:p>
        </w:tc>
        <w:tc>
          <w:tcPr>
            <w:tcW w:w="1704" w:type="dxa"/>
          </w:tcPr>
          <w:p w14:paraId="55217466" w14:textId="13004508" w:rsidR="00D95502" w:rsidRPr="00D95502" w:rsidRDefault="00D95502" w:rsidP="00D95502">
            <w:pPr>
              <w:jc w:val="both"/>
              <w:rPr>
                <w:rFonts w:ascii="Arial" w:hAnsi="Arial" w:cs="Arial"/>
              </w:rPr>
            </w:pPr>
            <w:r w:rsidRPr="001F5816">
              <w:rPr>
                <w:rFonts w:ascii="Arial" w:hAnsi="Arial" w:cs="Arial"/>
              </w:rPr>
              <w:t>10% of the unit price of an ESL app</w:t>
            </w:r>
            <w:r w:rsidR="001F5816">
              <w:rPr>
                <w:rFonts w:ascii="Arial" w:hAnsi="Arial" w:cs="Arial"/>
              </w:rPr>
              <w:t>ea</w:t>
            </w:r>
            <w:r w:rsidRPr="001F5816">
              <w:rPr>
                <w:rFonts w:ascii="Arial" w:hAnsi="Arial" w:cs="Arial"/>
              </w:rPr>
              <w:t>l.</w:t>
            </w:r>
          </w:p>
        </w:tc>
      </w:tr>
      <w:tr w:rsidR="00D95502" w:rsidRPr="005A7759" w14:paraId="6A13E91F" w14:textId="77777777" w:rsidTr="00D95502">
        <w:tc>
          <w:tcPr>
            <w:tcW w:w="958" w:type="dxa"/>
            <w:vMerge/>
          </w:tcPr>
          <w:p w14:paraId="19189C0C" w14:textId="77777777" w:rsidR="00D95502" w:rsidRPr="005A7759" w:rsidRDefault="00D95502" w:rsidP="00D95502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  <w:vMerge/>
          </w:tcPr>
          <w:p w14:paraId="60272923" w14:textId="77777777" w:rsidR="00D95502" w:rsidRPr="005A7759" w:rsidRDefault="00D95502" w:rsidP="00D955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56" w:type="dxa"/>
            <w:vMerge/>
          </w:tcPr>
          <w:p w14:paraId="59620712" w14:textId="77777777" w:rsidR="00D95502" w:rsidRPr="00F166D4" w:rsidRDefault="00D95502" w:rsidP="00D955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dxa"/>
          </w:tcPr>
          <w:p w14:paraId="20B611D6" w14:textId="5FFFB214" w:rsidR="00D95502" w:rsidRPr="005A7759" w:rsidRDefault="00D95502" w:rsidP="00D95502">
            <w:pPr>
              <w:jc w:val="both"/>
              <w:rPr>
                <w:rFonts w:ascii="Arial" w:hAnsi="Arial" w:cs="Arial"/>
              </w:rPr>
            </w:pPr>
            <w:r w:rsidRPr="001F5816">
              <w:rPr>
                <w:rFonts w:ascii="Arial" w:hAnsi="Arial" w:cs="Arial"/>
              </w:rPr>
              <w:t>Outcome delivered four (4) Business Days or more, but less than eight (8) Business Days after the Response Time.</w:t>
            </w:r>
          </w:p>
        </w:tc>
        <w:tc>
          <w:tcPr>
            <w:tcW w:w="1704" w:type="dxa"/>
          </w:tcPr>
          <w:p w14:paraId="03D6FF7C" w14:textId="3BAD0355" w:rsidR="00D95502" w:rsidRPr="00D95502" w:rsidRDefault="00D95502" w:rsidP="00D95502">
            <w:pPr>
              <w:jc w:val="both"/>
              <w:rPr>
                <w:rFonts w:ascii="Arial" w:hAnsi="Arial" w:cs="Arial"/>
              </w:rPr>
            </w:pPr>
            <w:r w:rsidRPr="001F5816">
              <w:rPr>
                <w:rFonts w:ascii="Arial" w:hAnsi="Arial" w:cs="Arial"/>
              </w:rPr>
              <w:t>15% of the unit price of an ESL app</w:t>
            </w:r>
            <w:r w:rsidR="001F5816">
              <w:rPr>
                <w:rFonts w:ascii="Arial" w:hAnsi="Arial" w:cs="Arial"/>
              </w:rPr>
              <w:t>ea</w:t>
            </w:r>
            <w:r w:rsidRPr="001F5816">
              <w:rPr>
                <w:rFonts w:ascii="Arial" w:hAnsi="Arial" w:cs="Arial"/>
              </w:rPr>
              <w:t>l.</w:t>
            </w:r>
          </w:p>
        </w:tc>
      </w:tr>
      <w:tr w:rsidR="00D95502" w:rsidRPr="005A7759" w14:paraId="753B7411" w14:textId="77777777" w:rsidTr="00D95502">
        <w:tc>
          <w:tcPr>
            <w:tcW w:w="958" w:type="dxa"/>
            <w:vMerge/>
          </w:tcPr>
          <w:p w14:paraId="1C9AB5FB" w14:textId="77777777" w:rsidR="00D95502" w:rsidRPr="005A7759" w:rsidRDefault="00D95502" w:rsidP="00D95502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  <w:vMerge/>
          </w:tcPr>
          <w:p w14:paraId="7644163A" w14:textId="77777777" w:rsidR="00D95502" w:rsidRPr="005A7759" w:rsidRDefault="00D95502" w:rsidP="00D955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56" w:type="dxa"/>
            <w:vMerge/>
          </w:tcPr>
          <w:p w14:paraId="2D15AA2E" w14:textId="77777777" w:rsidR="00D95502" w:rsidRPr="00F166D4" w:rsidRDefault="00D95502" w:rsidP="00D9550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dxa"/>
          </w:tcPr>
          <w:p w14:paraId="332E6AF9" w14:textId="42A08472" w:rsidR="00D95502" w:rsidRPr="005A7759" w:rsidRDefault="00D95502" w:rsidP="00D95502">
            <w:pPr>
              <w:jc w:val="both"/>
              <w:rPr>
                <w:rFonts w:ascii="Arial" w:hAnsi="Arial" w:cs="Arial"/>
              </w:rPr>
            </w:pPr>
            <w:r w:rsidRPr="00322190">
              <w:rPr>
                <w:rFonts w:ascii="Arial" w:hAnsi="Arial" w:cs="Arial"/>
              </w:rPr>
              <w:t>Outcome delivered eight (8) Business Days or more after the Response Time.</w:t>
            </w:r>
          </w:p>
        </w:tc>
        <w:tc>
          <w:tcPr>
            <w:tcW w:w="1704" w:type="dxa"/>
          </w:tcPr>
          <w:p w14:paraId="16CA9825" w14:textId="0522BBA0" w:rsidR="00D95502" w:rsidRPr="00D95502" w:rsidRDefault="00D95502" w:rsidP="00D95502">
            <w:pPr>
              <w:jc w:val="both"/>
              <w:rPr>
                <w:rFonts w:ascii="Arial" w:hAnsi="Arial" w:cs="Arial"/>
              </w:rPr>
            </w:pPr>
            <w:r w:rsidRPr="00322190">
              <w:rPr>
                <w:rFonts w:ascii="Arial" w:hAnsi="Arial" w:cs="Arial"/>
              </w:rPr>
              <w:t>20% of the unit price of an ESL app</w:t>
            </w:r>
            <w:r w:rsidR="001F5816">
              <w:rPr>
                <w:rFonts w:ascii="Arial" w:hAnsi="Arial" w:cs="Arial"/>
              </w:rPr>
              <w:t>ea</w:t>
            </w:r>
            <w:r w:rsidRPr="00322190">
              <w:rPr>
                <w:rFonts w:ascii="Arial" w:hAnsi="Arial" w:cs="Arial"/>
              </w:rPr>
              <w:t>l.</w:t>
            </w:r>
          </w:p>
        </w:tc>
      </w:tr>
      <w:tr w:rsidR="00214821" w:rsidRPr="005A7759" w14:paraId="5F86529C" w14:textId="77777777" w:rsidTr="00D95502">
        <w:tc>
          <w:tcPr>
            <w:tcW w:w="958" w:type="dxa"/>
            <w:vMerge w:val="restart"/>
          </w:tcPr>
          <w:p w14:paraId="6A2545FE" w14:textId="450F7B55" w:rsidR="00214821" w:rsidRPr="005A7759" w:rsidRDefault="00214821" w:rsidP="005A7759">
            <w:pPr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1.</w:t>
            </w:r>
            <w:r w:rsidR="00D95502">
              <w:rPr>
                <w:rFonts w:ascii="Arial" w:hAnsi="Arial" w:cs="Arial"/>
              </w:rPr>
              <w:t>5</w:t>
            </w:r>
          </w:p>
        </w:tc>
        <w:tc>
          <w:tcPr>
            <w:tcW w:w="2892" w:type="dxa"/>
            <w:vMerge w:val="restart"/>
          </w:tcPr>
          <w:p w14:paraId="32FB0C6C" w14:textId="5BB0D56E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 xml:space="preserve">Securing an appointment with a medical specialist upon </w:t>
            </w:r>
            <w:r w:rsidR="005B2F16">
              <w:rPr>
                <w:rFonts w:ascii="Arial" w:hAnsi="Arial" w:cs="Arial"/>
              </w:rPr>
              <w:t>receiving the request for a</w:t>
            </w:r>
            <w:r w:rsidR="00F607C3">
              <w:rPr>
                <w:rFonts w:ascii="Arial" w:hAnsi="Arial" w:cs="Arial"/>
              </w:rPr>
              <w:t>n</w:t>
            </w:r>
            <w:r w:rsidR="005B2F16">
              <w:rPr>
                <w:rFonts w:ascii="Arial" w:hAnsi="Arial" w:cs="Arial"/>
              </w:rPr>
              <w:t xml:space="preserve"> </w:t>
            </w:r>
            <w:r w:rsidR="0082083D">
              <w:rPr>
                <w:rFonts w:ascii="Arial" w:hAnsi="Arial" w:cs="Arial"/>
              </w:rPr>
              <w:t>independent opinion</w:t>
            </w:r>
            <w:r w:rsidR="00F10893">
              <w:rPr>
                <w:rFonts w:ascii="Arial" w:hAnsi="Arial" w:cs="Arial"/>
              </w:rPr>
              <w:t>.</w:t>
            </w:r>
          </w:p>
        </w:tc>
        <w:tc>
          <w:tcPr>
            <w:tcW w:w="1756" w:type="dxa"/>
            <w:vMerge w:val="restart"/>
          </w:tcPr>
          <w:p w14:paraId="64185B55" w14:textId="2CD72277" w:rsidR="00214821" w:rsidRPr="005A7759" w:rsidRDefault="009151E5" w:rsidP="00F10893">
            <w:pPr>
              <w:jc w:val="both"/>
              <w:rPr>
                <w:rFonts w:ascii="Arial" w:hAnsi="Arial" w:cs="Arial"/>
              </w:rPr>
            </w:pPr>
            <w:r w:rsidRPr="00F166D4">
              <w:rPr>
                <w:rFonts w:ascii="Arial" w:hAnsi="Arial" w:cs="Arial"/>
              </w:rPr>
              <w:t>Forty-eight</w:t>
            </w:r>
            <w:r w:rsidR="00214821" w:rsidRPr="00F166D4">
              <w:rPr>
                <w:rFonts w:ascii="Arial" w:hAnsi="Arial" w:cs="Arial"/>
              </w:rPr>
              <w:t xml:space="preserve"> (4</w:t>
            </w:r>
            <w:r w:rsidR="00283A59" w:rsidRPr="00F166D4">
              <w:rPr>
                <w:rFonts w:ascii="Arial" w:hAnsi="Arial" w:cs="Arial"/>
              </w:rPr>
              <w:t>8</w:t>
            </w:r>
            <w:r w:rsidR="00214821" w:rsidRPr="00F166D4">
              <w:rPr>
                <w:rFonts w:ascii="Arial" w:hAnsi="Arial" w:cs="Arial"/>
              </w:rPr>
              <w:t>)</w:t>
            </w:r>
            <w:r w:rsidR="00214821" w:rsidRPr="009151E5">
              <w:rPr>
                <w:rFonts w:ascii="Arial" w:hAnsi="Arial" w:cs="Arial"/>
              </w:rPr>
              <w:t xml:space="preserve"> </w:t>
            </w:r>
            <w:r w:rsidR="00214821" w:rsidRPr="005A7759">
              <w:rPr>
                <w:rFonts w:ascii="Arial" w:hAnsi="Arial" w:cs="Arial"/>
              </w:rPr>
              <w:t xml:space="preserve">hours, reckoned from the time the </w:t>
            </w:r>
            <w:r w:rsidR="00214821" w:rsidRPr="005A7759">
              <w:rPr>
                <w:rFonts w:ascii="Arial" w:hAnsi="Arial" w:cs="Arial"/>
              </w:rPr>
              <w:lastRenderedPageBreak/>
              <w:t>Service Provider receives instructions from SARS indicating such referral (Response Time)</w:t>
            </w:r>
            <w:r w:rsidR="00F10893">
              <w:rPr>
                <w:rFonts w:ascii="Arial" w:hAnsi="Arial" w:cs="Arial"/>
              </w:rPr>
              <w:t>.</w:t>
            </w:r>
          </w:p>
        </w:tc>
        <w:tc>
          <w:tcPr>
            <w:tcW w:w="1706" w:type="dxa"/>
          </w:tcPr>
          <w:p w14:paraId="1574AC64" w14:textId="504E8A0A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lastRenderedPageBreak/>
              <w:t xml:space="preserve">Appointment secured more than two (2) Business Days </w:t>
            </w:r>
            <w:r w:rsidRPr="005A7759">
              <w:rPr>
                <w:rFonts w:ascii="Arial" w:hAnsi="Arial" w:cs="Arial"/>
              </w:rPr>
              <w:lastRenderedPageBreak/>
              <w:t>but less than four (4) Business Days after</w:t>
            </w:r>
            <w:r w:rsidR="00407458">
              <w:rPr>
                <w:rFonts w:ascii="Arial" w:hAnsi="Arial" w:cs="Arial"/>
              </w:rPr>
              <w:t xml:space="preserve"> the</w:t>
            </w:r>
            <w:r w:rsidRPr="005A7759">
              <w:rPr>
                <w:rFonts w:ascii="Arial" w:hAnsi="Arial" w:cs="Arial"/>
              </w:rPr>
              <w:t xml:space="preserve"> Response Time</w:t>
            </w:r>
            <w:r w:rsidR="00407458">
              <w:rPr>
                <w:rFonts w:ascii="Arial" w:hAnsi="Arial" w:cs="Arial"/>
              </w:rPr>
              <w:t>.</w:t>
            </w:r>
          </w:p>
        </w:tc>
        <w:tc>
          <w:tcPr>
            <w:tcW w:w="1704" w:type="dxa"/>
          </w:tcPr>
          <w:p w14:paraId="38062A02" w14:textId="5C5D67A3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lastRenderedPageBreak/>
              <w:t>10% of the unit price of an ESL application</w:t>
            </w:r>
            <w:r w:rsidR="00F10893">
              <w:rPr>
                <w:rFonts w:ascii="Arial" w:hAnsi="Arial" w:cs="Arial"/>
              </w:rPr>
              <w:t>.</w:t>
            </w:r>
          </w:p>
        </w:tc>
      </w:tr>
      <w:tr w:rsidR="00214821" w:rsidRPr="005A7759" w14:paraId="125F3139" w14:textId="77777777" w:rsidTr="00D95502">
        <w:tc>
          <w:tcPr>
            <w:tcW w:w="958" w:type="dxa"/>
            <w:vMerge/>
          </w:tcPr>
          <w:p w14:paraId="357E2127" w14:textId="77777777" w:rsidR="00214821" w:rsidRPr="005A7759" w:rsidRDefault="00214821" w:rsidP="005A7759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  <w:vMerge/>
          </w:tcPr>
          <w:p w14:paraId="42CA95D5" w14:textId="77777777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56" w:type="dxa"/>
            <w:vMerge/>
          </w:tcPr>
          <w:p w14:paraId="70E2DCD9" w14:textId="77777777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dxa"/>
          </w:tcPr>
          <w:p w14:paraId="4A3F742E" w14:textId="563E29CE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 xml:space="preserve">Appointment secured four (4) </w:t>
            </w:r>
            <w:r w:rsidR="00931C92">
              <w:rPr>
                <w:rFonts w:ascii="Arial" w:hAnsi="Arial" w:cs="Arial"/>
              </w:rPr>
              <w:t xml:space="preserve">or </w:t>
            </w:r>
            <w:r w:rsidR="00931C92" w:rsidRPr="005A7759">
              <w:rPr>
                <w:rFonts w:ascii="Arial" w:hAnsi="Arial" w:cs="Arial"/>
              </w:rPr>
              <w:t xml:space="preserve">more </w:t>
            </w:r>
            <w:r w:rsidRPr="005A7759">
              <w:rPr>
                <w:rFonts w:ascii="Arial" w:hAnsi="Arial" w:cs="Arial"/>
              </w:rPr>
              <w:t>Business Days after</w:t>
            </w:r>
            <w:r w:rsidR="00407458">
              <w:rPr>
                <w:rFonts w:ascii="Arial" w:hAnsi="Arial" w:cs="Arial"/>
              </w:rPr>
              <w:t xml:space="preserve"> the</w:t>
            </w:r>
            <w:r w:rsidRPr="005A7759">
              <w:rPr>
                <w:rFonts w:ascii="Arial" w:hAnsi="Arial" w:cs="Arial"/>
              </w:rPr>
              <w:t xml:space="preserve"> Response Time</w:t>
            </w:r>
            <w:r w:rsidR="00F10893">
              <w:rPr>
                <w:rFonts w:ascii="Arial" w:hAnsi="Arial" w:cs="Arial"/>
              </w:rPr>
              <w:t>.</w:t>
            </w:r>
          </w:p>
        </w:tc>
        <w:tc>
          <w:tcPr>
            <w:tcW w:w="1704" w:type="dxa"/>
          </w:tcPr>
          <w:p w14:paraId="7F58F295" w14:textId="065DCEFB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15% of the unit price of an ESL application</w:t>
            </w:r>
            <w:r w:rsidR="00F10893">
              <w:rPr>
                <w:rFonts w:ascii="Arial" w:hAnsi="Arial" w:cs="Arial"/>
              </w:rPr>
              <w:t>.</w:t>
            </w:r>
          </w:p>
        </w:tc>
      </w:tr>
      <w:tr w:rsidR="00214821" w:rsidRPr="005A7759" w14:paraId="4295BA73" w14:textId="77777777" w:rsidTr="00D95502">
        <w:tc>
          <w:tcPr>
            <w:tcW w:w="958" w:type="dxa"/>
            <w:vMerge w:val="restart"/>
          </w:tcPr>
          <w:p w14:paraId="4A671585" w14:textId="7DFB46D7" w:rsidR="00214821" w:rsidRPr="005A7759" w:rsidRDefault="00214821" w:rsidP="005A7759">
            <w:pPr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1.</w:t>
            </w:r>
            <w:r w:rsidR="00D95502">
              <w:rPr>
                <w:rFonts w:ascii="Arial" w:hAnsi="Arial" w:cs="Arial"/>
              </w:rPr>
              <w:t>6</w:t>
            </w:r>
          </w:p>
        </w:tc>
        <w:tc>
          <w:tcPr>
            <w:tcW w:w="2892" w:type="dxa"/>
            <w:vMerge w:val="restart"/>
          </w:tcPr>
          <w:p w14:paraId="6FB1682E" w14:textId="669E4DC3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 xml:space="preserve">Full Health </w:t>
            </w:r>
            <w:r w:rsidR="00B1752B" w:rsidRPr="005A7759">
              <w:rPr>
                <w:rFonts w:ascii="Arial" w:hAnsi="Arial" w:cs="Arial"/>
              </w:rPr>
              <w:t>Assessment</w:t>
            </w:r>
            <w:r w:rsidRPr="005A7759">
              <w:rPr>
                <w:rFonts w:ascii="Arial" w:hAnsi="Arial" w:cs="Arial"/>
              </w:rPr>
              <w:t xml:space="preserve"> referrals for </w:t>
            </w:r>
            <w:r w:rsidR="00931C92">
              <w:rPr>
                <w:rFonts w:ascii="Arial" w:hAnsi="Arial" w:cs="Arial"/>
              </w:rPr>
              <w:t>s</w:t>
            </w:r>
            <w:r w:rsidRPr="005A7759">
              <w:rPr>
                <w:rFonts w:ascii="Arial" w:hAnsi="Arial" w:cs="Arial"/>
              </w:rPr>
              <w:t>pecialist medical opinion</w:t>
            </w:r>
            <w:r w:rsidR="0082083D">
              <w:rPr>
                <w:rFonts w:ascii="Arial" w:hAnsi="Arial" w:cs="Arial"/>
              </w:rPr>
              <w:t xml:space="preserve"> or </w:t>
            </w:r>
            <w:r w:rsidR="0082083D" w:rsidRPr="0082083D">
              <w:rPr>
                <w:rFonts w:ascii="Arial" w:hAnsi="Arial" w:cs="Arial"/>
              </w:rPr>
              <w:t xml:space="preserve">adjudication of </w:t>
            </w:r>
            <w:r w:rsidR="007C0FB9" w:rsidRPr="0082083D">
              <w:rPr>
                <w:rFonts w:ascii="Arial" w:hAnsi="Arial" w:cs="Arial"/>
              </w:rPr>
              <w:t>Ill-Health Retirement</w:t>
            </w:r>
            <w:r w:rsidR="0082083D" w:rsidRPr="0082083D">
              <w:rPr>
                <w:rFonts w:ascii="Arial" w:hAnsi="Arial" w:cs="Arial"/>
              </w:rPr>
              <w:t xml:space="preserve"> applications</w:t>
            </w:r>
            <w:r w:rsidRPr="005A7759">
              <w:rPr>
                <w:rFonts w:ascii="Arial" w:hAnsi="Arial" w:cs="Arial"/>
              </w:rPr>
              <w:t>.</w:t>
            </w:r>
          </w:p>
        </w:tc>
        <w:tc>
          <w:tcPr>
            <w:tcW w:w="1756" w:type="dxa"/>
            <w:vMerge w:val="restart"/>
          </w:tcPr>
          <w:p w14:paraId="03F696E3" w14:textId="1ABBD0D1" w:rsidR="00214821" w:rsidRPr="00DE77BE" w:rsidRDefault="00214821" w:rsidP="00F10893">
            <w:pPr>
              <w:jc w:val="both"/>
              <w:rPr>
                <w:rFonts w:ascii="Arial" w:hAnsi="Arial" w:cs="Arial"/>
                <w:highlight w:val="yellow"/>
              </w:rPr>
            </w:pPr>
            <w:r w:rsidRPr="00CE7C5F">
              <w:rPr>
                <w:rFonts w:ascii="Arial" w:hAnsi="Arial" w:cs="Arial"/>
              </w:rPr>
              <w:t xml:space="preserve">Delivery of the report must occur within eight (8) weeks </w:t>
            </w:r>
            <w:r w:rsidR="00283A59" w:rsidRPr="00CE7C5F">
              <w:rPr>
                <w:rFonts w:ascii="Arial" w:hAnsi="Arial" w:cs="Arial"/>
              </w:rPr>
              <w:t>after the last assessment</w:t>
            </w:r>
            <w:r w:rsidR="00F166D4" w:rsidRPr="00CE7C5F">
              <w:rPr>
                <w:rFonts w:ascii="Arial" w:hAnsi="Arial" w:cs="Arial"/>
              </w:rPr>
              <w:t>,</w:t>
            </w:r>
            <w:r w:rsidRPr="00CE7C5F">
              <w:rPr>
                <w:rFonts w:ascii="Arial" w:hAnsi="Arial" w:cs="Arial"/>
              </w:rPr>
              <w:t xml:space="preserve"> as envisaged in </w:t>
            </w:r>
            <w:r w:rsidR="00407458" w:rsidRPr="00CE7C5F">
              <w:rPr>
                <w:rFonts w:ascii="Arial" w:hAnsi="Arial" w:cs="Arial"/>
              </w:rPr>
              <w:t xml:space="preserve">item </w:t>
            </w:r>
            <w:r w:rsidRPr="00CE7C5F">
              <w:rPr>
                <w:rFonts w:ascii="Arial" w:hAnsi="Arial" w:cs="Arial"/>
              </w:rPr>
              <w:t>1.4 above (Response Time</w:t>
            </w:r>
            <w:r w:rsidR="00F10893" w:rsidRPr="00CE7C5F">
              <w:rPr>
                <w:rFonts w:ascii="Arial" w:hAnsi="Arial" w:cs="Arial"/>
              </w:rPr>
              <w:t>).</w:t>
            </w:r>
          </w:p>
        </w:tc>
        <w:tc>
          <w:tcPr>
            <w:tcW w:w="1706" w:type="dxa"/>
          </w:tcPr>
          <w:p w14:paraId="260744C7" w14:textId="0BB79425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Report submitted six (6) Business Days after the Response Time</w:t>
            </w:r>
            <w:r w:rsidR="00F10893">
              <w:rPr>
                <w:rFonts w:ascii="Arial" w:hAnsi="Arial" w:cs="Arial"/>
              </w:rPr>
              <w:t>.</w:t>
            </w:r>
          </w:p>
        </w:tc>
        <w:tc>
          <w:tcPr>
            <w:tcW w:w="1704" w:type="dxa"/>
          </w:tcPr>
          <w:p w14:paraId="7FE6569D" w14:textId="2BD99394" w:rsidR="00214821" w:rsidRPr="005A7759" w:rsidRDefault="00407458" w:rsidP="00F10893">
            <w:pPr>
              <w:jc w:val="both"/>
              <w:rPr>
                <w:rFonts w:ascii="Arial" w:hAnsi="Arial" w:cs="Arial"/>
              </w:rPr>
            </w:pPr>
            <w:r w:rsidRPr="00407458">
              <w:rPr>
                <w:rFonts w:ascii="Arial" w:hAnsi="Arial" w:cs="Arial"/>
              </w:rPr>
              <w:t xml:space="preserve">10% of the unit price of </w:t>
            </w:r>
            <w:r w:rsidR="007B131D">
              <w:rPr>
                <w:rFonts w:ascii="Arial" w:hAnsi="Arial" w:cs="Arial"/>
              </w:rPr>
              <w:t xml:space="preserve">a </w:t>
            </w:r>
            <w:r w:rsidR="007B131D" w:rsidRPr="007B131D">
              <w:rPr>
                <w:rFonts w:ascii="Arial" w:hAnsi="Arial" w:cs="Arial"/>
              </w:rPr>
              <w:t xml:space="preserve">Full Health </w:t>
            </w:r>
            <w:r w:rsidR="00B1752B" w:rsidRPr="007B131D">
              <w:rPr>
                <w:rFonts w:ascii="Arial" w:hAnsi="Arial" w:cs="Arial"/>
              </w:rPr>
              <w:t>Assessment</w:t>
            </w:r>
            <w:r w:rsidR="0082083D">
              <w:rPr>
                <w:rFonts w:ascii="Arial" w:hAnsi="Arial" w:cs="Arial"/>
              </w:rPr>
              <w:t xml:space="preserve"> or </w:t>
            </w:r>
            <w:r w:rsidR="007C0FB9">
              <w:rPr>
                <w:rFonts w:ascii="Arial" w:hAnsi="Arial" w:cs="Arial"/>
              </w:rPr>
              <w:t xml:space="preserve">Ill-Health Retirement </w:t>
            </w:r>
            <w:r w:rsidRPr="00407458">
              <w:rPr>
                <w:rFonts w:ascii="Arial" w:hAnsi="Arial" w:cs="Arial"/>
              </w:rPr>
              <w:t>application</w:t>
            </w:r>
            <w:r w:rsidR="0082083D">
              <w:rPr>
                <w:rFonts w:ascii="Arial" w:hAnsi="Arial" w:cs="Arial"/>
              </w:rPr>
              <w:t>, whichever is applicable</w:t>
            </w:r>
            <w:r w:rsidRPr="00407458">
              <w:rPr>
                <w:rFonts w:ascii="Arial" w:hAnsi="Arial" w:cs="Arial"/>
              </w:rPr>
              <w:t>.</w:t>
            </w:r>
          </w:p>
        </w:tc>
      </w:tr>
      <w:tr w:rsidR="00214821" w:rsidRPr="005A7759" w14:paraId="1BF033F6" w14:textId="77777777" w:rsidTr="00D95502">
        <w:tc>
          <w:tcPr>
            <w:tcW w:w="958" w:type="dxa"/>
            <w:vMerge/>
          </w:tcPr>
          <w:p w14:paraId="0192802B" w14:textId="77777777" w:rsidR="00214821" w:rsidRPr="005A7759" w:rsidRDefault="00214821" w:rsidP="005A7759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  <w:vMerge/>
          </w:tcPr>
          <w:p w14:paraId="6C4BA612" w14:textId="77777777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56" w:type="dxa"/>
            <w:vMerge/>
          </w:tcPr>
          <w:p w14:paraId="2D2EE013" w14:textId="77777777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dxa"/>
          </w:tcPr>
          <w:p w14:paraId="7A570EB1" w14:textId="38EE313F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 xml:space="preserve">Report submitted seven (7) </w:t>
            </w:r>
            <w:r w:rsidR="00966B43">
              <w:rPr>
                <w:rFonts w:ascii="Arial" w:hAnsi="Arial" w:cs="Arial"/>
              </w:rPr>
              <w:t xml:space="preserve">or </w:t>
            </w:r>
            <w:r w:rsidR="00966B43" w:rsidRPr="005A7759">
              <w:rPr>
                <w:rFonts w:ascii="Arial" w:hAnsi="Arial" w:cs="Arial"/>
              </w:rPr>
              <w:t xml:space="preserve">more </w:t>
            </w:r>
            <w:r w:rsidRPr="005A7759">
              <w:rPr>
                <w:rFonts w:ascii="Arial" w:hAnsi="Arial" w:cs="Arial"/>
              </w:rPr>
              <w:t>Business Days</w:t>
            </w:r>
            <w:r w:rsidR="00966B43">
              <w:rPr>
                <w:rFonts w:ascii="Arial" w:hAnsi="Arial" w:cs="Arial"/>
              </w:rPr>
              <w:t>,</w:t>
            </w:r>
            <w:r w:rsidRPr="005A7759">
              <w:rPr>
                <w:rFonts w:ascii="Arial" w:hAnsi="Arial" w:cs="Arial"/>
              </w:rPr>
              <w:t xml:space="preserve"> but less than ten (10) Business Days after the Response Time.</w:t>
            </w:r>
          </w:p>
        </w:tc>
        <w:tc>
          <w:tcPr>
            <w:tcW w:w="1704" w:type="dxa"/>
          </w:tcPr>
          <w:p w14:paraId="78DB9BAD" w14:textId="54FF56C7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 xml:space="preserve">15% of the unit price of </w:t>
            </w:r>
            <w:r w:rsidR="00D21699" w:rsidRPr="00D21699">
              <w:rPr>
                <w:rFonts w:ascii="Arial" w:hAnsi="Arial" w:cs="Arial"/>
              </w:rPr>
              <w:t>a Full Health</w:t>
            </w:r>
            <w:r w:rsidR="00F9147A">
              <w:rPr>
                <w:rFonts w:ascii="Arial" w:hAnsi="Arial" w:cs="Arial"/>
              </w:rPr>
              <w:t xml:space="preserve"> </w:t>
            </w:r>
            <w:r w:rsidR="007C0FB9">
              <w:rPr>
                <w:rFonts w:ascii="Arial" w:hAnsi="Arial" w:cs="Arial"/>
              </w:rPr>
              <w:t>Assessment</w:t>
            </w:r>
            <w:r w:rsidR="007C0FB9">
              <w:t xml:space="preserve"> </w:t>
            </w:r>
            <w:r w:rsidR="0082083D" w:rsidRPr="0082083D">
              <w:rPr>
                <w:rFonts w:ascii="Arial" w:hAnsi="Arial" w:cs="Arial"/>
              </w:rPr>
              <w:t xml:space="preserve">or </w:t>
            </w:r>
            <w:r w:rsidR="007C0FB9" w:rsidRPr="0082083D">
              <w:rPr>
                <w:rFonts w:ascii="Arial" w:hAnsi="Arial" w:cs="Arial"/>
              </w:rPr>
              <w:t xml:space="preserve">Ill-Health Retirement </w:t>
            </w:r>
            <w:r w:rsidR="0082083D" w:rsidRPr="0082083D">
              <w:rPr>
                <w:rFonts w:ascii="Arial" w:hAnsi="Arial" w:cs="Arial"/>
              </w:rPr>
              <w:t xml:space="preserve">application, whichever </w:t>
            </w:r>
            <w:r w:rsidR="0082083D">
              <w:rPr>
                <w:rFonts w:ascii="Arial" w:hAnsi="Arial" w:cs="Arial"/>
              </w:rPr>
              <w:t xml:space="preserve">is </w:t>
            </w:r>
            <w:r w:rsidR="0082083D" w:rsidRPr="0082083D">
              <w:rPr>
                <w:rFonts w:ascii="Arial" w:hAnsi="Arial" w:cs="Arial"/>
              </w:rPr>
              <w:t>applicable</w:t>
            </w:r>
            <w:r w:rsidR="00F10893">
              <w:rPr>
                <w:rFonts w:ascii="Arial" w:hAnsi="Arial" w:cs="Arial"/>
              </w:rPr>
              <w:t>.</w:t>
            </w:r>
            <w:r w:rsidRPr="005A7759">
              <w:rPr>
                <w:rFonts w:ascii="Arial" w:hAnsi="Arial" w:cs="Arial"/>
              </w:rPr>
              <w:t xml:space="preserve"> </w:t>
            </w:r>
          </w:p>
        </w:tc>
      </w:tr>
      <w:tr w:rsidR="00214821" w:rsidRPr="005A7759" w14:paraId="20F57831" w14:textId="77777777" w:rsidTr="00D95502">
        <w:tc>
          <w:tcPr>
            <w:tcW w:w="958" w:type="dxa"/>
            <w:vMerge/>
          </w:tcPr>
          <w:p w14:paraId="05588B6B" w14:textId="77777777" w:rsidR="00214821" w:rsidRPr="005A7759" w:rsidRDefault="00214821" w:rsidP="005A7759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  <w:vMerge/>
          </w:tcPr>
          <w:p w14:paraId="30E92C4A" w14:textId="77777777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56" w:type="dxa"/>
            <w:vMerge/>
          </w:tcPr>
          <w:p w14:paraId="7C54D0FF" w14:textId="77777777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dxa"/>
          </w:tcPr>
          <w:p w14:paraId="5CE2B6BA" w14:textId="641A553D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 xml:space="preserve">Report submitted ten (10) </w:t>
            </w:r>
            <w:r w:rsidR="003203EC">
              <w:rPr>
                <w:rFonts w:ascii="Arial" w:hAnsi="Arial" w:cs="Arial"/>
              </w:rPr>
              <w:t xml:space="preserve">or </w:t>
            </w:r>
            <w:r w:rsidR="003203EC" w:rsidRPr="005A7759">
              <w:rPr>
                <w:rFonts w:ascii="Arial" w:hAnsi="Arial" w:cs="Arial"/>
              </w:rPr>
              <w:t xml:space="preserve">more </w:t>
            </w:r>
            <w:r w:rsidRPr="005A7759">
              <w:rPr>
                <w:rFonts w:ascii="Arial" w:hAnsi="Arial" w:cs="Arial"/>
              </w:rPr>
              <w:t>Business Days after the Response Time.</w:t>
            </w:r>
          </w:p>
        </w:tc>
        <w:tc>
          <w:tcPr>
            <w:tcW w:w="1704" w:type="dxa"/>
          </w:tcPr>
          <w:p w14:paraId="0088F396" w14:textId="62B0EB1B" w:rsidR="00214821" w:rsidRPr="005A7759" w:rsidRDefault="00214821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 xml:space="preserve">20% of the unit price of </w:t>
            </w:r>
            <w:r w:rsidR="00F9147A" w:rsidRPr="00F9147A">
              <w:rPr>
                <w:rFonts w:ascii="Arial" w:hAnsi="Arial" w:cs="Arial"/>
              </w:rPr>
              <w:t>a Full Health</w:t>
            </w:r>
            <w:r w:rsidR="00F9147A">
              <w:rPr>
                <w:rFonts w:ascii="Arial" w:hAnsi="Arial" w:cs="Arial"/>
              </w:rPr>
              <w:t xml:space="preserve"> </w:t>
            </w:r>
            <w:r w:rsidR="007C0FB9">
              <w:rPr>
                <w:rFonts w:ascii="Arial" w:hAnsi="Arial" w:cs="Arial"/>
              </w:rPr>
              <w:t>Assessment</w:t>
            </w:r>
            <w:r w:rsidR="0082083D">
              <w:t xml:space="preserve"> </w:t>
            </w:r>
            <w:r w:rsidR="0082083D" w:rsidRPr="0082083D">
              <w:rPr>
                <w:rFonts w:ascii="Arial" w:hAnsi="Arial" w:cs="Arial"/>
              </w:rPr>
              <w:t xml:space="preserve">or </w:t>
            </w:r>
            <w:r w:rsidR="007C0FB9" w:rsidRPr="0082083D">
              <w:rPr>
                <w:rFonts w:ascii="Arial" w:hAnsi="Arial" w:cs="Arial"/>
              </w:rPr>
              <w:t xml:space="preserve">Ill-Health Retirement </w:t>
            </w:r>
            <w:r w:rsidR="0082083D" w:rsidRPr="0082083D">
              <w:rPr>
                <w:rFonts w:ascii="Arial" w:hAnsi="Arial" w:cs="Arial"/>
              </w:rPr>
              <w:t xml:space="preserve">application, whichever </w:t>
            </w:r>
            <w:r w:rsidR="0082083D">
              <w:rPr>
                <w:rFonts w:ascii="Arial" w:hAnsi="Arial" w:cs="Arial"/>
              </w:rPr>
              <w:t xml:space="preserve">is </w:t>
            </w:r>
            <w:r w:rsidR="0082083D" w:rsidRPr="0082083D">
              <w:rPr>
                <w:rFonts w:ascii="Arial" w:hAnsi="Arial" w:cs="Arial"/>
              </w:rPr>
              <w:t>applicable</w:t>
            </w:r>
            <w:r w:rsidR="00F10893">
              <w:rPr>
                <w:rFonts w:ascii="Arial" w:hAnsi="Arial" w:cs="Arial"/>
              </w:rPr>
              <w:t>.</w:t>
            </w:r>
          </w:p>
        </w:tc>
      </w:tr>
      <w:tr w:rsidR="00651CAA" w:rsidRPr="005A7759" w14:paraId="6318347C" w14:textId="77777777" w:rsidTr="00D95502">
        <w:tc>
          <w:tcPr>
            <w:tcW w:w="958" w:type="dxa"/>
            <w:vMerge w:val="restart"/>
          </w:tcPr>
          <w:p w14:paraId="6600A074" w14:textId="29DA970D" w:rsidR="00651CAA" w:rsidRPr="005A7759" w:rsidRDefault="00651CAA" w:rsidP="00CF73E7">
            <w:pPr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1.</w:t>
            </w:r>
            <w:r w:rsidR="00CB7D4F">
              <w:rPr>
                <w:rFonts w:ascii="Arial" w:hAnsi="Arial" w:cs="Arial"/>
              </w:rPr>
              <w:t>7</w:t>
            </w:r>
          </w:p>
        </w:tc>
        <w:tc>
          <w:tcPr>
            <w:tcW w:w="2892" w:type="dxa"/>
            <w:vMerge w:val="restart"/>
          </w:tcPr>
          <w:p w14:paraId="41187B3A" w14:textId="5935B744" w:rsidR="00651CAA" w:rsidRPr="005A7759" w:rsidRDefault="00651CAA" w:rsidP="00CF73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Request For Medical Opinion. </w:t>
            </w:r>
          </w:p>
        </w:tc>
        <w:tc>
          <w:tcPr>
            <w:tcW w:w="1756" w:type="dxa"/>
            <w:vMerge w:val="restart"/>
          </w:tcPr>
          <w:p w14:paraId="633C27ED" w14:textId="6288DC25" w:rsidR="00651CAA" w:rsidRPr="00DE77BE" w:rsidRDefault="00651CAA" w:rsidP="00CF73E7">
            <w:pPr>
              <w:jc w:val="both"/>
              <w:rPr>
                <w:rFonts w:ascii="Arial" w:hAnsi="Arial" w:cs="Arial"/>
                <w:highlight w:val="yellow"/>
              </w:rPr>
            </w:pPr>
            <w:r w:rsidRPr="00CE7C5F">
              <w:rPr>
                <w:rFonts w:ascii="Arial" w:hAnsi="Arial" w:cs="Arial"/>
              </w:rPr>
              <w:t>Delivery of the report must occur within ten (1</w:t>
            </w:r>
            <w:r w:rsidR="00F607C3">
              <w:rPr>
                <w:rFonts w:ascii="Arial" w:hAnsi="Arial" w:cs="Arial"/>
              </w:rPr>
              <w:t>0</w:t>
            </w:r>
            <w:r w:rsidRPr="00CE7C5F">
              <w:rPr>
                <w:rFonts w:ascii="Arial" w:hAnsi="Arial" w:cs="Arial"/>
              </w:rPr>
              <w:t xml:space="preserve">) </w:t>
            </w:r>
            <w:r w:rsidR="00F166D4" w:rsidRPr="00CE7C5F">
              <w:rPr>
                <w:rFonts w:ascii="Arial" w:hAnsi="Arial" w:cs="Arial"/>
              </w:rPr>
              <w:t>Business Days</w:t>
            </w:r>
            <w:r w:rsidRPr="00CE7C5F">
              <w:rPr>
                <w:rFonts w:ascii="Arial" w:hAnsi="Arial" w:cs="Arial"/>
              </w:rPr>
              <w:t xml:space="preserve"> after the submission of </w:t>
            </w:r>
            <w:r w:rsidR="009151E5" w:rsidRPr="00CE7C5F">
              <w:rPr>
                <w:rFonts w:ascii="Arial" w:hAnsi="Arial" w:cs="Arial"/>
              </w:rPr>
              <w:t xml:space="preserve">the </w:t>
            </w:r>
            <w:r w:rsidRPr="00CE7C5F">
              <w:rPr>
                <w:rFonts w:ascii="Arial" w:hAnsi="Arial" w:cs="Arial"/>
              </w:rPr>
              <w:t>application and supporting medical information (Response Time).</w:t>
            </w:r>
          </w:p>
        </w:tc>
        <w:tc>
          <w:tcPr>
            <w:tcW w:w="1706" w:type="dxa"/>
          </w:tcPr>
          <w:p w14:paraId="15D4905C" w14:textId="3C621241" w:rsidR="00651CAA" w:rsidRPr="005A7759" w:rsidRDefault="00651CAA" w:rsidP="00CF73E7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 xml:space="preserve">Report submitted </w:t>
            </w:r>
            <w:r w:rsidR="00792750">
              <w:rPr>
                <w:rFonts w:ascii="Arial" w:hAnsi="Arial" w:cs="Arial"/>
              </w:rPr>
              <w:t>three</w:t>
            </w:r>
            <w:r w:rsidR="00792750" w:rsidRPr="005A7759">
              <w:rPr>
                <w:rFonts w:ascii="Arial" w:hAnsi="Arial" w:cs="Arial"/>
              </w:rPr>
              <w:t xml:space="preserve"> </w:t>
            </w:r>
            <w:r w:rsidRPr="005A7759">
              <w:rPr>
                <w:rFonts w:ascii="Arial" w:hAnsi="Arial" w:cs="Arial"/>
              </w:rPr>
              <w:t>(</w:t>
            </w:r>
            <w:r w:rsidR="00F607C3">
              <w:rPr>
                <w:rFonts w:ascii="Arial" w:hAnsi="Arial" w:cs="Arial"/>
              </w:rPr>
              <w:t>3</w:t>
            </w:r>
            <w:r w:rsidRPr="005A7759">
              <w:rPr>
                <w:rFonts w:ascii="Arial" w:hAnsi="Arial" w:cs="Arial"/>
              </w:rPr>
              <w:t>) Business Days after the Response Time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4" w:type="dxa"/>
          </w:tcPr>
          <w:p w14:paraId="16B2C40F" w14:textId="75B840CF" w:rsidR="00651CAA" w:rsidRPr="005A7759" w:rsidRDefault="00651CAA" w:rsidP="00CF73E7">
            <w:pPr>
              <w:jc w:val="both"/>
              <w:rPr>
                <w:rFonts w:ascii="Arial" w:hAnsi="Arial" w:cs="Arial"/>
              </w:rPr>
            </w:pPr>
            <w:r w:rsidRPr="00407458">
              <w:rPr>
                <w:rFonts w:ascii="Arial" w:hAnsi="Arial" w:cs="Arial"/>
              </w:rPr>
              <w:t xml:space="preserve">10% of the unit price of </w:t>
            </w:r>
            <w:r w:rsidR="00F166D4">
              <w:rPr>
                <w:rFonts w:ascii="Arial" w:hAnsi="Arial" w:cs="Arial"/>
              </w:rPr>
              <w:t>a medical opinion</w:t>
            </w:r>
            <w:r w:rsidRPr="00407458">
              <w:rPr>
                <w:rFonts w:ascii="Arial" w:hAnsi="Arial" w:cs="Arial"/>
              </w:rPr>
              <w:t>.</w:t>
            </w:r>
          </w:p>
        </w:tc>
      </w:tr>
      <w:tr w:rsidR="00651CAA" w:rsidRPr="005A7759" w14:paraId="139C416D" w14:textId="77777777" w:rsidTr="00D95502">
        <w:tc>
          <w:tcPr>
            <w:tcW w:w="958" w:type="dxa"/>
            <w:vMerge/>
          </w:tcPr>
          <w:p w14:paraId="32A26C5D" w14:textId="77777777" w:rsidR="00651CAA" w:rsidRPr="005A7759" w:rsidRDefault="00651CAA" w:rsidP="00CF73E7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  <w:vMerge/>
          </w:tcPr>
          <w:p w14:paraId="1C23F42B" w14:textId="77777777" w:rsidR="00651CAA" w:rsidRPr="005A7759" w:rsidRDefault="00651CAA" w:rsidP="00CF73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56" w:type="dxa"/>
            <w:vMerge/>
          </w:tcPr>
          <w:p w14:paraId="2A5ADAEE" w14:textId="77777777" w:rsidR="00651CAA" w:rsidRPr="005A7759" w:rsidRDefault="00651CAA" w:rsidP="00CF73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dxa"/>
          </w:tcPr>
          <w:p w14:paraId="7A8DB6F9" w14:textId="153D1DDD" w:rsidR="00651CAA" w:rsidRPr="005A7759" w:rsidRDefault="00651CAA" w:rsidP="00CF73E7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 xml:space="preserve">Report submitted </w:t>
            </w:r>
            <w:r w:rsidR="00792750">
              <w:rPr>
                <w:rFonts w:ascii="Arial" w:hAnsi="Arial" w:cs="Arial"/>
              </w:rPr>
              <w:t>f</w:t>
            </w:r>
            <w:r w:rsidR="0082083D">
              <w:rPr>
                <w:rFonts w:ascii="Arial" w:hAnsi="Arial" w:cs="Arial"/>
              </w:rPr>
              <w:t>our</w:t>
            </w:r>
            <w:r w:rsidR="00792750" w:rsidRPr="005A7759">
              <w:rPr>
                <w:rFonts w:ascii="Arial" w:hAnsi="Arial" w:cs="Arial"/>
              </w:rPr>
              <w:t xml:space="preserve"> </w:t>
            </w:r>
            <w:r w:rsidRPr="005A7759">
              <w:rPr>
                <w:rFonts w:ascii="Arial" w:hAnsi="Arial" w:cs="Arial"/>
              </w:rPr>
              <w:t>(</w:t>
            </w:r>
            <w:r w:rsidR="0082083D">
              <w:rPr>
                <w:rFonts w:ascii="Arial" w:hAnsi="Arial" w:cs="Arial"/>
              </w:rPr>
              <w:t>4</w:t>
            </w:r>
            <w:r w:rsidRPr="005A7759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 xml:space="preserve">or </w:t>
            </w:r>
            <w:r w:rsidRPr="005A7759">
              <w:rPr>
                <w:rFonts w:ascii="Arial" w:hAnsi="Arial" w:cs="Arial"/>
              </w:rPr>
              <w:t>more Business Days</w:t>
            </w:r>
            <w:r>
              <w:rPr>
                <w:rFonts w:ascii="Arial" w:hAnsi="Arial" w:cs="Arial"/>
              </w:rPr>
              <w:t>,</w:t>
            </w:r>
            <w:r w:rsidRPr="005A7759">
              <w:rPr>
                <w:rFonts w:ascii="Arial" w:hAnsi="Arial" w:cs="Arial"/>
              </w:rPr>
              <w:t xml:space="preserve"> but less than </w:t>
            </w:r>
            <w:r w:rsidR="0082083D">
              <w:rPr>
                <w:rFonts w:ascii="Arial" w:hAnsi="Arial" w:cs="Arial"/>
              </w:rPr>
              <w:t>seven</w:t>
            </w:r>
            <w:r w:rsidR="0082083D" w:rsidRPr="005A7759">
              <w:rPr>
                <w:rFonts w:ascii="Arial" w:hAnsi="Arial" w:cs="Arial"/>
              </w:rPr>
              <w:t xml:space="preserve"> </w:t>
            </w:r>
            <w:r w:rsidRPr="005A7759">
              <w:rPr>
                <w:rFonts w:ascii="Arial" w:hAnsi="Arial" w:cs="Arial"/>
              </w:rPr>
              <w:t>(</w:t>
            </w:r>
            <w:r w:rsidR="0082083D">
              <w:rPr>
                <w:rFonts w:ascii="Arial" w:hAnsi="Arial" w:cs="Arial"/>
              </w:rPr>
              <w:t>7</w:t>
            </w:r>
            <w:r w:rsidRPr="005A7759">
              <w:rPr>
                <w:rFonts w:ascii="Arial" w:hAnsi="Arial" w:cs="Arial"/>
              </w:rPr>
              <w:t xml:space="preserve">) </w:t>
            </w:r>
            <w:r w:rsidRPr="005A7759">
              <w:rPr>
                <w:rFonts w:ascii="Arial" w:hAnsi="Arial" w:cs="Arial"/>
              </w:rPr>
              <w:lastRenderedPageBreak/>
              <w:t>Business Days after the Response Time.</w:t>
            </w:r>
          </w:p>
        </w:tc>
        <w:tc>
          <w:tcPr>
            <w:tcW w:w="1704" w:type="dxa"/>
          </w:tcPr>
          <w:p w14:paraId="29B1587B" w14:textId="32A3D4A6" w:rsidR="00651CAA" w:rsidRPr="005A7759" w:rsidRDefault="00651CAA" w:rsidP="00CF73E7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lastRenderedPageBreak/>
              <w:t xml:space="preserve">15% of the unit price of </w:t>
            </w:r>
            <w:r w:rsidR="00F166D4" w:rsidRPr="00F166D4">
              <w:rPr>
                <w:rFonts w:ascii="Arial" w:hAnsi="Arial" w:cs="Arial"/>
              </w:rPr>
              <w:t>a medical opinion</w:t>
            </w:r>
            <w:r>
              <w:rPr>
                <w:rFonts w:ascii="Arial" w:hAnsi="Arial" w:cs="Arial"/>
              </w:rPr>
              <w:t>.</w:t>
            </w:r>
            <w:r w:rsidRPr="005A7759">
              <w:rPr>
                <w:rFonts w:ascii="Arial" w:hAnsi="Arial" w:cs="Arial"/>
              </w:rPr>
              <w:t xml:space="preserve"> </w:t>
            </w:r>
          </w:p>
        </w:tc>
      </w:tr>
      <w:tr w:rsidR="00651CAA" w:rsidRPr="005A7759" w14:paraId="20658764" w14:textId="77777777" w:rsidTr="00D95502">
        <w:tc>
          <w:tcPr>
            <w:tcW w:w="958" w:type="dxa"/>
            <w:vMerge/>
          </w:tcPr>
          <w:p w14:paraId="6C86A4CC" w14:textId="77777777" w:rsidR="00651CAA" w:rsidRPr="005A7759" w:rsidRDefault="00651CAA" w:rsidP="00CF73E7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  <w:vMerge/>
          </w:tcPr>
          <w:p w14:paraId="046D1AC7" w14:textId="77777777" w:rsidR="00651CAA" w:rsidRPr="005A7759" w:rsidRDefault="00651CAA" w:rsidP="00CF73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56" w:type="dxa"/>
            <w:vMerge/>
          </w:tcPr>
          <w:p w14:paraId="68A8F0B9" w14:textId="77777777" w:rsidR="00651CAA" w:rsidRPr="005A7759" w:rsidRDefault="00651CAA" w:rsidP="00CF73E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dxa"/>
          </w:tcPr>
          <w:p w14:paraId="3427DE65" w14:textId="6622E397" w:rsidR="00651CAA" w:rsidRPr="005A7759" w:rsidRDefault="00651CAA" w:rsidP="00CF73E7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 xml:space="preserve">Report submitted </w:t>
            </w:r>
            <w:r w:rsidR="00A67F4A">
              <w:rPr>
                <w:rFonts w:ascii="Arial" w:hAnsi="Arial" w:cs="Arial"/>
              </w:rPr>
              <w:t>seven</w:t>
            </w:r>
            <w:r w:rsidRPr="005A7759">
              <w:rPr>
                <w:rFonts w:ascii="Arial" w:hAnsi="Arial" w:cs="Arial"/>
              </w:rPr>
              <w:t xml:space="preserve"> (</w:t>
            </w:r>
            <w:r w:rsidR="00A67F4A">
              <w:rPr>
                <w:rFonts w:ascii="Arial" w:hAnsi="Arial" w:cs="Arial"/>
              </w:rPr>
              <w:t>7</w:t>
            </w:r>
            <w:r w:rsidRPr="005A7759">
              <w:rPr>
                <w:rFonts w:ascii="Arial" w:hAnsi="Arial" w:cs="Arial"/>
              </w:rPr>
              <w:t xml:space="preserve">) </w:t>
            </w:r>
            <w:r>
              <w:rPr>
                <w:rFonts w:ascii="Arial" w:hAnsi="Arial" w:cs="Arial"/>
              </w:rPr>
              <w:t xml:space="preserve">or </w:t>
            </w:r>
            <w:r w:rsidRPr="005A7759">
              <w:rPr>
                <w:rFonts w:ascii="Arial" w:hAnsi="Arial" w:cs="Arial"/>
              </w:rPr>
              <w:t>more Business Days after the Response Time.</w:t>
            </w:r>
          </w:p>
        </w:tc>
        <w:tc>
          <w:tcPr>
            <w:tcW w:w="1704" w:type="dxa"/>
          </w:tcPr>
          <w:p w14:paraId="788BA5D3" w14:textId="270995A5" w:rsidR="00651CAA" w:rsidRPr="005A7759" w:rsidRDefault="00651CAA" w:rsidP="00CF73E7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 xml:space="preserve">20% of the unit price of </w:t>
            </w:r>
            <w:r w:rsidR="00F166D4" w:rsidRPr="00F166D4">
              <w:rPr>
                <w:rFonts w:ascii="Arial" w:hAnsi="Arial" w:cs="Arial"/>
              </w:rPr>
              <w:t>a medical opinion</w:t>
            </w:r>
            <w:r>
              <w:rPr>
                <w:rFonts w:ascii="Arial" w:hAnsi="Arial" w:cs="Arial"/>
              </w:rPr>
              <w:t>.</w:t>
            </w:r>
          </w:p>
        </w:tc>
      </w:tr>
      <w:tr w:rsidR="00BC40A4" w:rsidRPr="005A7759" w14:paraId="7030FE4C" w14:textId="77777777" w:rsidTr="00D95502">
        <w:tc>
          <w:tcPr>
            <w:tcW w:w="958" w:type="dxa"/>
            <w:shd w:val="clear" w:color="auto" w:fill="D9E2F3" w:themeFill="accent1" w:themeFillTint="33"/>
          </w:tcPr>
          <w:p w14:paraId="47E6BFC3" w14:textId="7FBF3FDB" w:rsidR="00BC40A4" w:rsidRPr="00407458" w:rsidRDefault="00BC40A4" w:rsidP="005A7759">
            <w:pPr>
              <w:pStyle w:val="ListParagraph"/>
              <w:numPr>
                <w:ilvl w:val="0"/>
                <w:numId w:val="1"/>
              </w:numPr>
              <w:ind w:hanging="72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058" w:type="dxa"/>
            <w:gridSpan w:val="4"/>
            <w:shd w:val="clear" w:color="auto" w:fill="D9E2F3" w:themeFill="accent1" w:themeFillTint="33"/>
          </w:tcPr>
          <w:p w14:paraId="245F1EE5" w14:textId="0987D747" w:rsidR="00BC40A4" w:rsidRPr="00407458" w:rsidRDefault="00BC40A4" w:rsidP="00F10893">
            <w:pPr>
              <w:jc w:val="both"/>
              <w:rPr>
                <w:rFonts w:ascii="Arial" w:hAnsi="Arial" w:cs="Arial"/>
                <w:b/>
                <w:bCs/>
              </w:rPr>
            </w:pPr>
            <w:r w:rsidRPr="00407458">
              <w:rPr>
                <w:rFonts w:ascii="Arial" w:hAnsi="Arial" w:cs="Arial"/>
                <w:b/>
                <w:bCs/>
              </w:rPr>
              <w:t>Reporting</w:t>
            </w:r>
            <w:r w:rsidR="001475BB">
              <w:rPr>
                <w:rFonts w:ascii="Arial" w:hAnsi="Arial" w:cs="Arial"/>
                <w:b/>
                <w:bCs/>
              </w:rPr>
              <w:t xml:space="preserve"> (Monthly, </w:t>
            </w:r>
            <w:proofErr w:type="gramStart"/>
            <w:r w:rsidR="001475BB">
              <w:rPr>
                <w:rFonts w:ascii="Arial" w:hAnsi="Arial" w:cs="Arial"/>
                <w:b/>
                <w:bCs/>
              </w:rPr>
              <w:t>quarterly</w:t>
            </w:r>
            <w:proofErr w:type="gramEnd"/>
            <w:r w:rsidR="001475BB">
              <w:rPr>
                <w:rFonts w:ascii="Arial" w:hAnsi="Arial" w:cs="Arial"/>
                <w:b/>
                <w:bCs/>
              </w:rPr>
              <w:t xml:space="preserve"> and annually)</w:t>
            </w:r>
          </w:p>
        </w:tc>
      </w:tr>
      <w:tr w:rsidR="00EC1274" w:rsidRPr="005A7759" w14:paraId="61E43139" w14:textId="77777777" w:rsidTr="00D95502">
        <w:tc>
          <w:tcPr>
            <w:tcW w:w="958" w:type="dxa"/>
            <w:vMerge w:val="restart"/>
          </w:tcPr>
          <w:p w14:paraId="0179A7BF" w14:textId="58A90CE4" w:rsidR="00EC1274" w:rsidRPr="005A7759" w:rsidRDefault="00EC1274" w:rsidP="005A7759">
            <w:pPr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2.1</w:t>
            </w:r>
          </w:p>
        </w:tc>
        <w:tc>
          <w:tcPr>
            <w:tcW w:w="2892" w:type="dxa"/>
            <w:vMerge w:val="restart"/>
          </w:tcPr>
          <w:p w14:paraId="3324E9EF" w14:textId="12A7E9A7" w:rsidR="00EC1274" w:rsidRPr="005A7759" w:rsidRDefault="00EC1274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Submit monthly dashboard report complying with all minimum SARS requirements</w:t>
            </w:r>
            <w:r>
              <w:rPr>
                <w:rFonts w:ascii="Arial" w:hAnsi="Arial" w:cs="Arial"/>
              </w:rPr>
              <w:t>,</w:t>
            </w:r>
            <w:r w:rsidRPr="005A7759">
              <w:rPr>
                <w:rFonts w:ascii="Arial" w:hAnsi="Arial" w:cs="Arial"/>
              </w:rPr>
              <w:t xml:space="preserve"> as communicated from time to time.</w:t>
            </w:r>
          </w:p>
        </w:tc>
        <w:tc>
          <w:tcPr>
            <w:tcW w:w="1756" w:type="dxa"/>
            <w:vMerge w:val="restart"/>
          </w:tcPr>
          <w:p w14:paraId="6F64CDB6" w14:textId="11048110" w:rsidR="00EC1274" w:rsidRPr="00162408" w:rsidRDefault="00EC1274" w:rsidP="00F10893">
            <w:pPr>
              <w:jc w:val="both"/>
              <w:rPr>
                <w:rFonts w:ascii="Arial" w:hAnsi="Arial" w:cs="Arial"/>
              </w:rPr>
            </w:pPr>
            <w:r w:rsidRPr="00162408">
              <w:rPr>
                <w:rFonts w:ascii="Arial" w:hAnsi="Arial" w:cs="Arial"/>
              </w:rPr>
              <w:t xml:space="preserve">On the </w:t>
            </w:r>
            <w:r w:rsidR="00283A59" w:rsidRPr="00162408">
              <w:rPr>
                <w:rFonts w:ascii="Arial" w:hAnsi="Arial" w:cs="Arial"/>
              </w:rPr>
              <w:t>third (3</w:t>
            </w:r>
            <w:r w:rsidR="00162408" w:rsidRPr="00162408">
              <w:rPr>
                <w:rFonts w:ascii="Arial" w:hAnsi="Arial" w:cs="Arial"/>
                <w:vertAlign w:val="superscript"/>
              </w:rPr>
              <w:t>rd</w:t>
            </w:r>
            <w:r w:rsidR="00283A59" w:rsidRPr="00162408">
              <w:rPr>
                <w:rFonts w:ascii="Arial" w:hAnsi="Arial" w:cs="Arial"/>
              </w:rPr>
              <w:t>)</w:t>
            </w:r>
            <w:r w:rsidRPr="00162408">
              <w:rPr>
                <w:rFonts w:ascii="Arial" w:hAnsi="Arial" w:cs="Arial"/>
              </w:rPr>
              <w:t xml:space="preserve"> </w:t>
            </w:r>
            <w:r w:rsidR="009F02AF">
              <w:rPr>
                <w:rFonts w:ascii="Arial" w:hAnsi="Arial" w:cs="Arial"/>
              </w:rPr>
              <w:t xml:space="preserve">Business </w:t>
            </w:r>
            <w:r w:rsidR="009F02AF" w:rsidRPr="00162408">
              <w:rPr>
                <w:rFonts w:ascii="Arial" w:hAnsi="Arial" w:cs="Arial"/>
              </w:rPr>
              <w:t>Day</w:t>
            </w:r>
            <w:r w:rsidRPr="00162408">
              <w:rPr>
                <w:rFonts w:ascii="Arial" w:hAnsi="Arial" w:cs="Arial"/>
              </w:rPr>
              <w:t xml:space="preserve"> of each month (Response Time).</w:t>
            </w:r>
          </w:p>
          <w:p w14:paraId="45B0F493" w14:textId="77777777" w:rsidR="00EC1274" w:rsidRPr="00162408" w:rsidRDefault="00EC1274" w:rsidP="00F10893">
            <w:pPr>
              <w:jc w:val="both"/>
              <w:rPr>
                <w:rFonts w:ascii="Arial" w:hAnsi="Arial" w:cs="Arial"/>
              </w:rPr>
            </w:pPr>
          </w:p>
          <w:p w14:paraId="0E497588" w14:textId="77777777" w:rsidR="00EC1274" w:rsidRDefault="00EC1274" w:rsidP="00F10893">
            <w:pPr>
              <w:jc w:val="both"/>
              <w:rPr>
                <w:rFonts w:ascii="Arial" w:hAnsi="Arial" w:cs="Arial"/>
              </w:rPr>
            </w:pPr>
          </w:p>
          <w:p w14:paraId="1F1E9AEB" w14:textId="77777777" w:rsidR="00EC1274" w:rsidRDefault="00EC1274" w:rsidP="00F10893">
            <w:pPr>
              <w:jc w:val="both"/>
              <w:rPr>
                <w:rFonts w:ascii="Arial" w:hAnsi="Arial" w:cs="Arial"/>
              </w:rPr>
            </w:pPr>
          </w:p>
          <w:p w14:paraId="09D5AB49" w14:textId="77777777" w:rsidR="00EC1274" w:rsidRDefault="00EC1274" w:rsidP="00F10893">
            <w:pPr>
              <w:jc w:val="both"/>
              <w:rPr>
                <w:rFonts w:ascii="Arial" w:hAnsi="Arial" w:cs="Arial"/>
              </w:rPr>
            </w:pPr>
          </w:p>
          <w:p w14:paraId="02AFBA4B" w14:textId="77777777" w:rsidR="00EC1274" w:rsidRDefault="00EC1274" w:rsidP="00F10893">
            <w:pPr>
              <w:jc w:val="both"/>
              <w:rPr>
                <w:rFonts w:ascii="Arial" w:hAnsi="Arial" w:cs="Arial"/>
              </w:rPr>
            </w:pPr>
          </w:p>
          <w:p w14:paraId="20A8AF28" w14:textId="77777777" w:rsidR="00EC1274" w:rsidRDefault="00EC1274" w:rsidP="00F10893">
            <w:pPr>
              <w:jc w:val="both"/>
              <w:rPr>
                <w:rFonts w:ascii="Arial" w:hAnsi="Arial" w:cs="Arial"/>
              </w:rPr>
            </w:pPr>
          </w:p>
          <w:p w14:paraId="79046B92" w14:textId="77777777" w:rsidR="00EC1274" w:rsidRDefault="00EC1274" w:rsidP="00F10893">
            <w:pPr>
              <w:jc w:val="both"/>
              <w:rPr>
                <w:rFonts w:ascii="Arial" w:hAnsi="Arial" w:cs="Arial"/>
              </w:rPr>
            </w:pPr>
          </w:p>
          <w:p w14:paraId="41F503E2" w14:textId="77777777" w:rsidR="00EC1274" w:rsidRDefault="00EC1274" w:rsidP="00F10893">
            <w:pPr>
              <w:jc w:val="both"/>
              <w:rPr>
                <w:rFonts w:ascii="Arial" w:hAnsi="Arial" w:cs="Arial"/>
              </w:rPr>
            </w:pPr>
          </w:p>
          <w:p w14:paraId="54C71B43" w14:textId="77777777" w:rsidR="00EC1274" w:rsidRDefault="00EC1274" w:rsidP="00F10893">
            <w:pPr>
              <w:jc w:val="both"/>
              <w:rPr>
                <w:rFonts w:ascii="Arial" w:hAnsi="Arial" w:cs="Arial"/>
              </w:rPr>
            </w:pPr>
          </w:p>
          <w:p w14:paraId="10A18DCB" w14:textId="77777777" w:rsidR="00EC1274" w:rsidRDefault="00EC1274" w:rsidP="00F10893">
            <w:pPr>
              <w:jc w:val="both"/>
              <w:rPr>
                <w:rFonts w:ascii="Arial" w:hAnsi="Arial" w:cs="Arial"/>
              </w:rPr>
            </w:pPr>
          </w:p>
          <w:p w14:paraId="69F0B5DB" w14:textId="77777777" w:rsidR="00EC1274" w:rsidRDefault="00EC1274" w:rsidP="00F10893">
            <w:pPr>
              <w:jc w:val="both"/>
              <w:rPr>
                <w:rFonts w:ascii="Arial" w:hAnsi="Arial" w:cs="Arial"/>
              </w:rPr>
            </w:pPr>
          </w:p>
          <w:p w14:paraId="2A2F3B5C" w14:textId="70519600" w:rsidR="00EC1274" w:rsidRPr="005A7759" w:rsidRDefault="00EC1274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dxa"/>
          </w:tcPr>
          <w:p w14:paraId="71050CFA" w14:textId="4F676B99" w:rsidR="00EC1274" w:rsidRPr="005A7759" w:rsidRDefault="00EC1274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 xml:space="preserve">Report submitted four (4) Business Days after </w:t>
            </w:r>
            <w:r w:rsidR="00407458">
              <w:rPr>
                <w:rFonts w:ascii="Arial" w:hAnsi="Arial" w:cs="Arial"/>
              </w:rPr>
              <w:t xml:space="preserve">the </w:t>
            </w:r>
            <w:r w:rsidRPr="005A7759">
              <w:rPr>
                <w:rFonts w:ascii="Arial" w:hAnsi="Arial" w:cs="Arial"/>
              </w:rPr>
              <w:t>Response Time.</w:t>
            </w:r>
          </w:p>
        </w:tc>
        <w:tc>
          <w:tcPr>
            <w:tcW w:w="1704" w:type="dxa"/>
          </w:tcPr>
          <w:p w14:paraId="69CFBF20" w14:textId="5B9F0513" w:rsidR="00EC1274" w:rsidRPr="005A7759" w:rsidRDefault="00EC1274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10% of the unit price of an ESL application</w:t>
            </w:r>
            <w:r w:rsidR="00407458">
              <w:rPr>
                <w:rFonts w:ascii="Arial" w:hAnsi="Arial" w:cs="Arial"/>
              </w:rPr>
              <w:t>.</w:t>
            </w:r>
          </w:p>
        </w:tc>
      </w:tr>
      <w:tr w:rsidR="00EC1274" w:rsidRPr="005A7759" w14:paraId="24911AC4" w14:textId="77777777" w:rsidTr="00D95502">
        <w:tc>
          <w:tcPr>
            <w:tcW w:w="958" w:type="dxa"/>
            <w:vMerge/>
          </w:tcPr>
          <w:p w14:paraId="1E6FAFC8" w14:textId="77777777" w:rsidR="00EC1274" w:rsidRPr="005A7759" w:rsidRDefault="00EC1274" w:rsidP="005A7759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  <w:vMerge/>
          </w:tcPr>
          <w:p w14:paraId="3DB752B0" w14:textId="77777777" w:rsidR="00EC1274" w:rsidRPr="005A7759" w:rsidRDefault="00EC1274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56" w:type="dxa"/>
            <w:vMerge/>
          </w:tcPr>
          <w:p w14:paraId="3CEC0B45" w14:textId="77777777" w:rsidR="00EC1274" w:rsidRPr="005A7759" w:rsidRDefault="00EC1274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dxa"/>
          </w:tcPr>
          <w:p w14:paraId="46792E08" w14:textId="39407DC6" w:rsidR="00EC1274" w:rsidRPr="005A7759" w:rsidRDefault="00EC1274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Report submitted more than four (4) Business Days but less than ten (10) Business Days after</w:t>
            </w:r>
            <w:r w:rsidR="00407458">
              <w:rPr>
                <w:rFonts w:ascii="Arial" w:hAnsi="Arial" w:cs="Arial"/>
              </w:rPr>
              <w:t xml:space="preserve"> the</w:t>
            </w:r>
            <w:r w:rsidRPr="005A7759">
              <w:rPr>
                <w:rFonts w:ascii="Arial" w:hAnsi="Arial" w:cs="Arial"/>
              </w:rPr>
              <w:t xml:space="preserve"> Response Time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4" w:type="dxa"/>
          </w:tcPr>
          <w:p w14:paraId="31E7CC30" w14:textId="7E928C18" w:rsidR="00EC1274" w:rsidRPr="005A7759" w:rsidRDefault="00EC1274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15% of the unit price of an ESL application</w:t>
            </w:r>
            <w:r w:rsidR="00407458">
              <w:rPr>
                <w:rFonts w:ascii="Arial" w:hAnsi="Arial" w:cs="Arial"/>
              </w:rPr>
              <w:t>.</w:t>
            </w:r>
          </w:p>
        </w:tc>
      </w:tr>
      <w:tr w:rsidR="00EC1274" w:rsidRPr="005A7759" w14:paraId="41A6FEFC" w14:textId="77777777" w:rsidTr="00D95502">
        <w:trPr>
          <w:trHeight w:val="1360"/>
        </w:trPr>
        <w:tc>
          <w:tcPr>
            <w:tcW w:w="958" w:type="dxa"/>
            <w:vMerge/>
          </w:tcPr>
          <w:p w14:paraId="54224A25" w14:textId="77777777" w:rsidR="00EC1274" w:rsidRPr="005A7759" w:rsidRDefault="00EC1274" w:rsidP="005A7759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  <w:vMerge/>
          </w:tcPr>
          <w:p w14:paraId="42834C3A" w14:textId="77777777" w:rsidR="00EC1274" w:rsidRPr="005A7759" w:rsidRDefault="00EC1274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56" w:type="dxa"/>
            <w:vMerge/>
          </w:tcPr>
          <w:p w14:paraId="42101E4B" w14:textId="77777777" w:rsidR="00EC1274" w:rsidRPr="005A7759" w:rsidRDefault="00EC1274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dxa"/>
          </w:tcPr>
          <w:p w14:paraId="7F66F92F" w14:textId="2374BAAC" w:rsidR="00EC1274" w:rsidRPr="005A7759" w:rsidRDefault="00EC1274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 xml:space="preserve">Report submitted ten (10) </w:t>
            </w:r>
            <w:r w:rsidR="00630D21">
              <w:rPr>
                <w:rFonts w:ascii="Arial" w:hAnsi="Arial" w:cs="Arial"/>
              </w:rPr>
              <w:t xml:space="preserve">or </w:t>
            </w:r>
            <w:r w:rsidR="00630D21" w:rsidRPr="005A7759">
              <w:rPr>
                <w:rFonts w:ascii="Arial" w:hAnsi="Arial" w:cs="Arial"/>
              </w:rPr>
              <w:t xml:space="preserve">more </w:t>
            </w:r>
            <w:r w:rsidRPr="005A7759">
              <w:rPr>
                <w:rFonts w:ascii="Arial" w:hAnsi="Arial" w:cs="Arial"/>
              </w:rPr>
              <w:t xml:space="preserve">Business Days after </w:t>
            </w:r>
            <w:r w:rsidR="00407458">
              <w:rPr>
                <w:rFonts w:ascii="Arial" w:hAnsi="Arial" w:cs="Arial"/>
              </w:rPr>
              <w:t xml:space="preserve">the </w:t>
            </w:r>
            <w:r w:rsidRPr="005A7759">
              <w:rPr>
                <w:rFonts w:ascii="Arial" w:hAnsi="Arial" w:cs="Arial"/>
              </w:rPr>
              <w:t>Response Time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4" w:type="dxa"/>
          </w:tcPr>
          <w:p w14:paraId="2C728D64" w14:textId="57156350" w:rsidR="00EC1274" w:rsidRPr="005A7759" w:rsidRDefault="00EC1274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20% of the unit price of an ESL application</w:t>
            </w:r>
            <w:r w:rsidR="00407458">
              <w:rPr>
                <w:rFonts w:ascii="Arial" w:hAnsi="Arial" w:cs="Arial"/>
              </w:rPr>
              <w:t>.</w:t>
            </w:r>
          </w:p>
        </w:tc>
      </w:tr>
      <w:tr w:rsidR="00EC1274" w:rsidRPr="005A7759" w14:paraId="7613E462" w14:textId="77777777" w:rsidTr="00D95502">
        <w:trPr>
          <w:trHeight w:val="660"/>
        </w:trPr>
        <w:tc>
          <w:tcPr>
            <w:tcW w:w="958" w:type="dxa"/>
            <w:vMerge/>
          </w:tcPr>
          <w:p w14:paraId="3E33E834" w14:textId="77777777" w:rsidR="00EC1274" w:rsidRPr="005A7759" w:rsidRDefault="00EC1274" w:rsidP="005A7759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  <w:vMerge/>
          </w:tcPr>
          <w:p w14:paraId="685FE59C" w14:textId="77777777" w:rsidR="00EC1274" w:rsidRPr="005A7759" w:rsidRDefault="00EC1274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56" w:type="dxa"/>
          </w:tcPr>
          <w:p w14:paraId="42902BB2" w14:textId="77777777" w:rsidR="00EC1274" w:rsidRPr="005A7759" w:rsidRDefault="00EC1274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Report must conform to the SARS minimum standards. A report which fails to comply with all minimum SARS requirements shall constitute non-adherence to this Service Level.</w:t>
            </w:r>
          </w:p>
          <w:p w14:paraId="41F87FE4" w14:textId="77777777" w:rsidR="00EC1274" w:rsidRPr="005A7759" w:rsidRDefault="00EC1274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dxa"/>
          </w:tcPr>
          <w:p w14:paraId="754F2F15" w14:textId="77777777" w:rsidR="00EC1274" w:rsidRPr="005A7759" w:rsidRDefault="00EC1274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Report which fails to comply with SARS minimum standards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704" w:type="dxa"/>
          </w:tcPr>
          <w:p w14:paraId="79CE2FFD" w14:textId="2B36FE34" w:rsidR="00EC1274" w:rsidRPr="005A7759" w:rsidRDefault="00EC1274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 xml:space="preserve">10% of the unit price of an ESL application (in addition to any late delivery financial </w:t>
            </w:r>
            <w:r w:rsidR="00407458" w:rsidRPr="005A7759">
              <w:rPr>
                <w:rFonts w:ascii="Arial" w:hAnsi="Arial" w:cs="Arial"/>
              </w:rPr>
              <w:t>penalty</w:t>
            </w:r>
            <w:r w:rsidRPr="005A7759">
              <w:rPr>
                <w:rFonts w:ascii="Arial" w:hAnsi="Arial" w:cs="Arial"/>
              </w:rPr>
              <w:t xml:space="preserve"> which may be imposed).  In addition</w:t>
            </w:r>
            <w:r>
              <w:rPr>
                <w:rFonts w:ascii="Arial" w:hAnsi="Arial" w:cs="Arial"/>
              </w:rPr>
              <w:t>,</w:t>
            </w:r>
            <w:r w:rsidRPr="005A7759">
              <w:rPr>
                <w:rFonts w:ascii="Arial" w:hAnsi="Arial" w:cs="Arial"/>
              </w:rPr>
              <w:t xml:space="preserve"> the Service Provider must, at no cost to SARS, revise any report within five (5) </w:t>
            </w:r>
            <w:r w:rsidR="00407458">
              <w:rPr>
                <w:rFonts w:ascii="Arial" w:hAnsi="Arial" w:cs="Arial"/>
              </w:rPr>
              <w:t>Business D</w:t>
            </w:r>
            <w:r w:rsidRPr="005A7759">
              <w:rPr>
                <w:rFonts w:ascii="Arial" w:hAnsi="Arial" w:cs="Arial"/>
              </w:rPr>
              <w:t xml:space="preserve">ays of notification by SARS of </w:t>
            </w:r>
            <w:r w:rsidRPr="005A7759">
              <w:rPr>
                <w:rFonts w:ascii="Arial" w:hAnsi="Arial" w:cs="Arial"/>
              </w:rPr>
              <w:lastRenderedPageBreak/>
              <w:t>any defect therein.</w:t>
            </w:r>
          </w:p>
        </w:tc>
      </w:tr>
      <w:tr w:rsidR="00BC40A4" w:rsidRPr="005A7759" w14:paraId="4B61C067" w14:textId="77777777" w:rsidTr="00D95502">
        <w:tc>
          <w:tcPr>
            <w:tcW w:w="958" w:type="dxa"/>
            <w:vMerge w:val="restart"/>
          </w:tcPr>
          <w:p w14:paraId="1D4B5216" w14:textId="63B93D77" w:rsidR="00BC40A4" w:rsidRPr="005A7759" w:rsidRDefault="00BC40A4" w:rsidP="005A7759">
            <w:pPr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lastRenderedPageBreak/>
              <w:t>2.2</w:t>
            </w:r>
          </w:p>
        </w:tc>
        <w:tc>
          <w:tcPr>
            <w:tcW w:w="2892" w:type="dxa"/>
            <w:vMerge w:val="restart"/>
          </w:tcPr>
          <w:p w14:paraId="6D98C99E" w14:textId="0488FEB8" w:rsidR="00BC40A4" w:rsidRPr="005A7759" w:rsidRDefault="00BC40A4" w:rsidP="00F10893">
            <w:pPr>
              <w:jc w:val="both"/>
              <w:rPr>
                <w:rFonts w:ascii="Arial" w:hAnsi="Arial" w:cs="Arial"/>
              </w:rPr>
            </w:pPr>
            <w:r w:rsidRPr="00CE7C5F">
              <w:rPr>
                <w:rFonts w:ascii="Arial" w:hAnsi="Arial" w:cs="Arial"/>
              </w:rPr>
              <w:t xml:space="preserve">Submit quarterly </w:t>
            </w:r>
            <w:r w:rsidR="00651CAA" w:rsidRPr="00CE7C5F">
              <w:rPr>
                <w:rFonts w:ascii="Arial" w:hAnsi="Arial" w:cs="Arial"/>
              </w:rPr>
              <w:t xml:space="preserve">report with </w:t>
            </w:r>
            <w:r w:rsidRPr="00CE7C5F">
              <w:rPr>
                <w:rFonts w:ascii="Arial" w:hAnsi="Arial" w:cs="Arial"/>
              </w:rPr>
              <w:t xml:space="preserve">trend analysis </w:t>
            </w:r>
            <w:r w:rsidR="00651CAA" w:rsidRPr="00CE7C5F">
              <w:rPr>
                <w:rFonts w:ascii="Arial" w:hAnsi="Arial" w:cs="Arial"/>
              </w:rPr>
              <w:t>and recommendations</w:t>
            </w:r>
            <w:r w:rsidR="00407458" w:rsidRPr="00CE7C5F">
              <w:rPr>
                <w:rFonts w:ascii="Arial" w:hAnsi="Arial" w:cs="Arial"/>
              </w:rPr>
              <w:t>.</w:t>
            </w:r>
          </w:p>
        </w:tc>
        <w:tc>
          <w:tcPr>
            <w:tcW w:w="1756" w:type="dxa"/>
            <w:vMerge w:val="restart"/>
          </w:tcPr>
          <w:p w14:paraId="197B9202" w14:textId="0384A8A8" w:rsidR="00BC40A4" w:rsidRPr="005A7759" w:rsidRDefault="00217797" w:rsidP="00F10893">
            <w:pPr>
              <w:jc w:val="both"/>
              <w:rPr>
                <w:rFonts w:ascii="Arial" w:hAnsi="Arial" w:cs="Arial"/>
              </w:rPr>
            </w:pPr>
            <w:r w:rsidRPr="00162408">
              <w:rPr>
                <w:rFonts w:ascii="Arial" w:hAnsi="Arial" w:cs="Arial"/>
              </w:rPr>
              <w:t>On the</w:t>
            </w:r>
            <w:r w:rsidR="00BC40A4" w:rsidRPr="00162408">
              <w:rPr>
                <w:rFonts w:ascii="Arial" w:hAnsi="Arial" w:cs="Arial"/>
              </w:rPr>
              <w:t xml:space="preserve"> </w:t>
            </w:r>
            <w:r w:rsidRPr="00162408">
              <w:rPr>
                <w:rFonts w:ascii="Arial" w:hAnsi="Arial" w:cs="Arial"/>
              </w:rPr>
              <w:t xml:space="preserve">third </w:t>
            </w:r>
            <w:r w:rsidR="00F166D4">
              <w:rPr>
                <w:rFonts w:ascii="Arial" w:hAnsi="Arial" w:cs="Arial"/>
              </w:rPr>
              <w:t xml:space="preserve">Business </w:t>
            </w:r>
            <w:r w:rsidR="00F166D4" w:rsidRPr="00162408">
              <w:rPr>
                <w:rFonts w:ascii="Arial" w:hAnsi="Arial" w:cs="Arial"/>
              </w:rPr>
              <w:t xml:space="preserve">Day </w:t>
            </w:r>
            <w:r w:rsidRPr="00162408">
              <w:rPr>
                <w:rFonts w:ascii="Arial" w:hAnsi="Arial" w:cs="Arial"/>
              </w:rPr>
              <w:t>(3</w:t>
            </w:r>
            <w:r w:rsidR="00162408" w:rsidRPr="00162408">
              <w:rPr>
                <w:rFonts w:ascii="Arial" w:hAnsi="Arial" w:cs="Arial"/>
                <w:vertAlign w:val="superscript"/>
              </w:rPr>
              <w:t>rd</w:t>
            </w:r>
            <w:r w:rsidRPr="00162408">
              <w:rPr>
                <w:rFonts w:ascii="Arial" w:hAnsi="Arial" w:cs="Arial"/>
              </w:rPr>
              <w:t xml:space="preserve">) day after a </w:t>
            </w:r>
            <w:r w:rsidR="00BC40A4" w:rsidRPr="00162408">
              <w:rPr>
                <w:rFonts w:ascii="Arial" w:hAnsi="Arial" w:cs="Arial"/>
              </w:rPr>
              <w:t xml:space="preserve">quarter, </w:t>
            </w:r>
            <w:r w:rsidR="00BC40A4" w:rsidRPr="005A7759">
              <w:rPr>
                <w:rFonts w:ascii="Arial" w:hAnsi="Arial" w:cs="Arial"/>
              </w:rPr>
              <w:t>on the last day of the applicable month constituting a quarter (Response Time)</w:t>
            </w:r>
            <w:r w:rsidR="00407458">
              <w:rPr>
                <w:rFonts w:ascii="Arial" w:hAnsi="Arial" w:cs="Arial"/>
              </w:rPr>
              <w:t>.</w:t>
            </w:r>
          </w:p>
        </w:tc>
        <w:tc>
          <w:tcPr>
            <w:tcW w:w="1706" w:type="dxa"/>
          </w:tcPr>
          <w:p w14:paraId="349D27E0" w14:textId="15F741AF" w:rsidR="00BC40A4" w:rsidRPr="005A7759" w:rsidRDefault="00BC40A4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Report submitted four (4) Business Days after the Response Time.</w:t>
            </w:r>
          </w:p>
        </w:tc>
        <w:tc>
          <w:tcPr>
            <w:tcW w:w="1704" w:type="dxa"/>
          </w:tcPr>
          <w:p w14:paraId="0C0F8B5A" w14:textId="77C2E33C" w:rsidR="00BC40A4" w:rsidRPr="005A7759" w:rsidRDefault="00BC40A4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10% of the unit price of an ESL application</w:t>
            </w:r>
            <w:r w:rsidR="00407458">
              <w:rPr>
                <w:rFonts w:ascii="Arial" w:hAnsi="Arial" w:cs="Arial"/>
              </w:rPr>
              <w:t>.</w:t>
            </w:r>
          </w:p>
        </w:tc>
      </w:tr>
      <w:tr w:rsidR="00BC40A4" w:rsidRPr="005A7759" w14:paraId="1910E8EC" w14:textId="77777777" w:rsidTr="00D95502">
        <w:tc>
          <w:tcPr>
            <w:tcW w:w="958" w:type="dxa"/>
            <w:vMerge/>
          </w:tcPr>
          <w:p w14:paraId="4200F213" w14:textId="77777777" w:rsidR="00BC40A4" w:rsidRPr="005A7759" w:rsidRDefault="00BC40A4" w:rsidP="005A7759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  <w:vMerge/>
          </w:tcPr>
          <w:p w14:paraId="3953A343" w14:textId="77777777" w:rsidR="00BC40A4" w:rsidRPr="005A7759" w:rsidRDefault="00BC40A4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56" w:type="dxa"/>
            <w:vMerge/>
          </w:tcPr>
          <w:p w14:paraId="58AB0B71" w14:textId="77777777" w:rsidR="00BC40A4" w:rsidRPr="005A7759" w:rsidRDefault="00BC40A4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dxa"/>
          </w:tcPr>
          <w:p w14:paraId="34E2E08B" w14:textId="17780E39" w:rsidR="00BC40A4" w:rsidRPr="005A7759" w:rsidRDefault="00BC40A4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Report submitted more than four (4) Business Days but less than ten (10) Business Days after the Response Time.</w:t>
            </w:r>
          </w:p>
        </w:tc>
        <w:tc>
          <w:tcPr>
            <w:tcW w:w="1704" w:type="dxa"/>
          </w:tcPr>
          <w:p w14:paraId="7ECCFCF3" w14:textId="0A94668B" w:rsidR="00BC40A4" w:rsidRPr="005A7759" w:rsidRDefault="00BC40A4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15% of the unit price of an ESL application</w:t>
            </w:r>
            <w:r w:rsidR="00407458">
              <w:rPr>
                <w:rFonts w:ascii="Arial" w:hAnsi="Arial" w:cs="Arial"/>
              </w:rPr>
              <w:t>.</w:t>
            </w:r>
          </w:p>
        </w:tc>
      </w:tr>
      <w:tr w:rsidR="00BC40A4" w:rsidRPr="005A7759" w14:paraId="5A77AD45" w14:textId="77777777" w:rsidTr="00D95502">
        <w:tc>
          <w:tcPr>
            <w:tcW w:w="958" w:type="dxa"/>
            <w:vMerge/>
          </w:tcPr>
          <w:p w14:paraId="6702073E" w14:textId="77777777" w:rsidR="00BC40A4" w:rsidRPr="005A7759" w:rsidRDefault="00BC40A4" w:rsidP="005A7759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  <w:vMerge/>
          </w:tcPr>
          <w:p w14:paraId="53DCCCBC" w14:textId="77777777" w:rsidR="00BC40A4" w:rsidRPr="005A7759" w:rsidRDefault="00BC40A4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56" w:type="dxa"/>
            <w:vMerge/>
          </w:tcPr>
          <w:p w14:paraId="58A721C3" w14:textId="77777777" w:rsidR="00BC40A4" w:rsidRPr="005A7759" w:rsidRDefault="00BC40A4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dxa"/>
          </w:tcPr>
          <w:p w14:paraId="1EC70B09" w14:textId="584A3B9E" w:rsidR="00BC40A4" w:rsidRPr="005A7759" w:rsidRDefault="00BC40A4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 xml:space="preserve">Report submitted ten (10) </w:t>
            </w:r>
            <w:r w:rsidR="00036AC5">
              <w:rPr>
                <w:rFonts w:ascii="Arial" w:hAnsi="Arial" w:cs="Arial"/>
              </w:rPr>
              <w:t xml:space="preserve">or </w:t>
            </w:r>
            <w:r w:rsidR="00036AC5" w:rsidRPr="005A7759">
              <w:rPr>
                <w:rFonts w:ascii="Arial" w:hAnsi="Arial" w:cs="Arial"/>
              </w:rPr>
              <w:t xml:space="preserve">more </w:t>
            </w:r>
            <w:r w:rsidRPr="005A7759">
              <w:rPr>
                <w:rFonts w:ascii="Arial" w:hAnsi="Arial" w:cs="Arial"/>
              </w:rPr>
              <w:t>Business Days after the Response Time.</w:t>
            </w:r>
          </w:p>
        </w:tc>
        <w:tc>
          <w:tcPr>
            <w:tcW w:w="1704" w:type="dxa"/>
          </w:tcPr>
          <w:p w14:paraId="54FF1FE6" w14:textId="7A2E8BC7" w:rsidR="00BC40A4" w:rsidRPr="005A7759" w:rsidRDefault="00BC40A4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20% of the unit price of an ESL application</w:t>
            </w:r>
            <w:r w:rsidR="00407458">
              <w:rPr>
                <w:rFonts w:ascii="Arial" w:hAnsi="Arial" w:cs="Arial"/>
              </w:rPr>
              <w:t>.</w:t>
            </w:r>
          </w:p>
        </w:tc>
      </w:tr>
      <w:tr w:rsidR="005A7759" w:rsidRPr="005A7759" w14:paraId="5B19B796" w14:textId="77777777" w:rsidTr="00D95502">
        <w:tc>
          <w:tcPr>
            <w:tcW w:w="958" w:type="dxa"/>
            <w:vMerge w:val="restart"/>
          </w:tcPr>
          <w:p w14:paraId="03C6B41E" w14:textId="40398773" w:rsidR="005A7759" w:rsidRPr="005A7759" w:rsidRDefault="005A7759" w:rsidP="005A7759">
            <w:pPr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2.3</w:t>
            </w:r>
          </w:p>
        </w:tc>
        <w:tc>
          <w:tcPr>
            <w:tcW w:w="2892" w:type="dxa"/>
            <w:vMerge w:val="restart"/>
          </w:tcPr>
          <w:p w14:paraId="78F897B8" w14:textId="2B0F13B5" w:rsidR="005A7759" w:rsidRPr="005A7759" w:rsidRDefault="005A7759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Submit annual report with trend analysis</w:t>
            </w:r>
            <w:r w:rsidR="00651CAA">
              <w:rPr>
                <w:rFonts w:ascii="Arial" w:hAnsi="Arial" w:cs="Arial"/>
              </w:rPr>
              <w:t xml:space="preserve"> and recommendations</w:t>
            </w:r>
            <w:r w:rsidR="00407458">
              <w:rPr>
                <w:rFonts w:ascii="Arial" w:hAnsi="Arial" w:cs="Arial"/>
              </w:rPr>
              <w:t>.</w:t>
            </w:r>
          </w:p>
        </w:tc>
        <w:tc>
          <w:tcPr>
            <w:tcW w:w="1756" w:type="dxa"/>
            <w:vMerge w:val="restart"/>
          </w:tcPr>
          <w:p w14:paraId="73E17037" w14:textId="39A39533" w:rsidR="005A7759" w:rsidRPr="005A7759" w:rsidRDefault="00DD36D4" w:rsidP="00F1089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Annually</w:t>
            </w:r>
            <w:r w:rsidR="005A7759" w:rsidRPr="005A7759">
              <w:rPr>
                <w:rFonts w:ascii="Arial" w:hAnsi="Arial" w:cs="Arial"/>
              </w:rPr>
              <w:t xml:space="preserve"> </w:t>
            </w:r>
            <w:r w:rsidR="00C94990">
              <w:rPr>
                <w:rFonts w:ascii="Arial" w:hAnsi="Arial" w:cs="Arial"/>
              </w:rPr>
              <w:t xml:space="preserve">within fourteen (14) Business Days </w:t>
            </w:r>
            <w:r w:rsidR="0068229C">
              <w:rPr>
                <w:rFonts w:ascii="Arial" w:hAnsi="Arial" w:cs="Arial"/>
              </w:rPr>
              <w:t xml:space="preserve">of </w:t>
            </w:r>
            <w:r w:rsidR="00A67F4A">
              <w:rPr>
                <w:rFonts w:ascii="Arial" w:hAnsi="Arial" w:cs="Arial"/>
              </w:rPr>
              <w:t>the end of the SARS financial year end (March)</w:t>
            </w:r>
            <w:r>
              <w:rPr>
                <w:rFonts w:ascii="Arial" w:hAnsi="Arial" w:cs="Arial"/>
              </w:rPr>
              <w:t>,</w:t>
            </w:r>
            <w:r w:rsidR="00A67F4A">
              <w:rPr>
                <w:rFonts w:ascii="Arial" w:hAnsi="Arial" w:cs="Arial"/>
              </w:rPr>
              <w:t xml:space="preserve"> and </w:t>
            </w:r>
            <w:r w:rsidR="00792750">
              <w:rPr>
                <w:rFonts w:ascii="Arial" w:hAnsi="Arial" w:cs="Arial"/>
              </w:rPr>
              <w:t xml:space="preserve">in the final year of the Agreement </w:t>
            </w:r>
            <w:r w:rsidR="0068229C">
              <w:rPr>
                <w:rFonts w:ascii="Arial" w:hAnsi="Arial" w:cs="Arial"/>
              </w:rPr>
              <w:t xml:space="preserve">within </w:t>
            </w:r>
            <w:r w:rsidR="00D87246">
              <w:rPr>
                <w:rFonts w:ascii="Arial" w:hAnsi="Arial" w:cs="Arial"/>
              </w:rPr>
              <w:t>fourteen (</w:t>
            </w:r>
            <w:r w:rsidR="00A67F4A">
              <w:rPr>
                <w:rFonts w:ascii="Arial" w:hAnsi="Arial" w:cs="Arial"/>
              </w:rPr>
              <w:t>14</w:t>
            </w:r>
            <w:r w:rsidR="00D87246">
              <w:rPr>
                <w:rFonts w:ascii="Arial" w:hAnsi="Arial" w:cs="Arial"/>
              </w:rPr>
              <w:t>)</w:t>
            </w:r>
            <w:r w:rsidR="00A67F4A">
              <w:rPr>
                <w:rFonts w:ascii="Arial" w:hAnsi="Arial" w:cs="Arial"/>
              </w:rPr>
              <w:t xml:space="preserve"> </w:t>
            </w:r>
            <w:r w:rsidR="00D87246">
              <w:rPr>
                <w:rFonts w:ascii="Arial" w:hAnsi="Arial" w:cs="Arial"/>
              </w:rPr>
              <w:t xml:space="preserve">Business </w:t>
            </w:r>
            <w:r w:rsidR="00792750">
              <w:rPr>
                <w:rFonts w:ascii="Arial" w:hAnsi="Arial" w:cs="Arial"/>
              </w:rPr>
              <w:t xml:space="preserve">Days </w:t>
            </w:r>
            <w:r w:rsidR="00A67F4A">
              <w:rPr>
                <w:rFonts w:ascii="Arial" w:hAnsi="Arial" w:cs="Arial"/>
              </w:rPr>
              <w:t xml:space="preserve">after the termination date of the </w:t>
            </w:r>
            <w:r w:rsidR="005A7759" w:rsidRPr="005A7759">
              <w:rPr>
                <w:rFonts w:ascii="Arial" w:hAnsi="Arial" w:cs="Arial"/>
              </w:rPr>
              <w:t>Agreement (Response Time)</w:t>
            </w:r>
            <w:r w:rsidR="00407458">
              <w:rPr>
                <w:rFonts w:ascii="Arial" w:hAnsi="Arial" w:cs="Arial"/>
              </w:rPr>
              <w:t>.</w:t>
            </w:r>
          </w:p>
        </w:tc>
        <w:tc>
          <w:tcPr>
            <w:tcW w:w="1706" w:type="dxa"/>
          </w:tcPr>
          <w:p w14:paraId="2A9AF048" w14:textId="5C3398F1" w:rsidR="005A7759" w:rsidRPr="005A7759" w:rsidRDefault="005A7759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Report submitted fifteen (15) Business Days after</w:t>
            </w:r>
            <w:r w:rsidR="00407458">
              <w:rPr>
                <w:rFonts w:ascii="Arial" w:hAnsi="Arial" w:cs="Arial"/>
              </w:rPr>
              <w:t xml:space="preserve"> the</w:t>
            </w:r>
            <w:r w:rsidRPr="005A7759">
              <w:rPr>
                <w:rFonts w:ascii="Arial" w:hAnsi="Arial" w:cs="Arial"/>
              </w:rPr>
              <w:t xml:space="preserve"> Response Time</w:t>
            </w:r>
            <w:r w:rsidR="00407458">
              <w:rPr>
                <w:rFonts w:ascii="Arial" w:hAnsi="Arial" w:cs="Arial"/>
              </w:rPr>
              <w:t>.</w:t>
            </w:r>
          </w:p>
        </w:tc>
        <w:tc>
          <w:tcPr>
            <w:tcW w:w="1704" w:type="dxa"/>
          </w:tcPr>
          <w:p w14:paraId="1500CF34" w14:textId="214D64E7" w:rsidR="005A7759" w:rsidRPr="005A7759" w:rsidRDefault="005A7759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10% of the unit price of an ESL application</w:t>
            </w:r>
            <w:r w:rsidR="0088024E">
              <w:rPr>
                <w:rFonts w:ascii="Arial" w:hAnsi="Arial" w:cs="Arial"/>
              </w:rPr>
              <w:t>.</w:t>
            </w:r>
          </w:p>
        </w:tc>
      </w:tr>
      <w:tr w:rsidR="005A7759" w:rsidRPr="005A7759" w14:paraId="6F5BD0CA" w14:textId="77777777" w:rsidTr="00D95502">
        <w:tc>
          <w:tcPr>
            <w:tcW w:w="958" w:type="dxa"/>
            <w:vMerge/>
          </w:tcPr>
          <w:p w14:paraId="2F70DB75" w14:textId="77777777" w:rsidR="005A7759" w:rsidRPr="005A7759" w:rsidRDefault="005A7759" w:rsidP="005A7759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  <w:vMerge/>
          </w:tcPr>
          <w:p w14:paraId="179FF5EB" w14:textId="77777777" w:rsidR="005A7759" w:rsidRPr="005A7759" w:rsidRDefault="005A7759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56" w:type="dxa"/>
            <w:vMerge/>
          </w:tcPr>
          <w:p w14:paraId="6EA9E6C0" w14:textId="77777777" w:rsidR="005A7759" w:rsidRPr="005A7759" w:rsidRDefault="005A7759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dxa"/>
          </w:tcPr>
          <w:p w14:paraId="07063E4D" w14:textId="1F89A800" w:rsidR="005A7759" w:rsidRPr="005A7759" w:rsidRDefault="005A7759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Report submitted more than fifteen (15) Business Days but less than twenty (20) Business Days after the Response Time.</w:t>
            </w:r>
          </w:p>
        </w:tc>
        <w:tc>
          <w:tcPr>
            <w:tcW w:w="1704" w:type="dxa"/>
          </w:tcPr>
          <w:p w14:paraId="1590CED7" w14:textId="1E694256" w:rsidR="005A7759" w:rsidRPr="005A7759" w:rsidRDefault="005A7759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15% of the unit price of an ESL application</w:t>
            </w:r>
            <w:r w:rsidR="0088024E">
              <w:rPr>
                <w:rFonts w:ascii="Arial" w:hAnsi="Arial" w:cs="Arial"/>
              </w:rPr>
              <w:t>.</w:t>
            </w:r>
          </w:p>
        </w:tc>
      </w:tr>
      <w:tr w:rsidR="005A7759" w:rsidRPr="005A7759" w14:paraId="6A2A94D7" w14:textId="77777777" w:rsidTr="00D95502">
        <w:tc>
          <w:tcPr>
            <w:tcW w:w="958" w:type="dxa"/>
            <w:vMerge/>
          </w:tcPr>
          <w:p w14:paraId="07903686" w14:textId="77777777" w:rsidR="005A7759" w:rsidRPr="005A7759" w:rsidRDefault="005A7759" w:rsidP="005A7759">
            <w:pPr>
              <w:rPr>
                <w:rFonts w:ascii="Arial" w:hAnsi="Arial" w:cs="Arial"/>
              </w:rPr>
            </w:pPr>
          </w:p>
        </w:tc>
        <w:tc>
          <w:tcPr>
            <w:tcW w:w="2892" w:type="dxa"/>
            <w:vMerge/>
          </w:tcPr>
          <w:p w14:paraId="42886BED" w14:textId="77777777" w:rsidR="005A7759" w:rsidRPr="005A7759" w:rsidRDefault="005A7759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56" w:type="dxa"/>
            <w:vMerge/>
          </w:tcPr>
          <w:p w14:paraId="06A13440" w14:textId="77777777" w:rsidR="005A7759" w:rsidRPr="005A7759" w:rsidRDefault="005A7759" w:rsidP="00F1089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6" w:type="dxa"/>
          </w:tcPr>
          <w:p w14:paraId="715E23DC" w14:textId="4AE0B57F" w:rsidR="005A7759" w:rsidRPr="005A7759" w:rsidRDefault="005A7759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Report submitted twenty (20)</w:t>
            </w:r>
            <w:r w:rsidR="0013560F">
              <w:rPr>
                <w:rFonts w:ascii="Arial" w:hAnsi="Arial" w:cs="Arial"/>
              </w:rPr>
              <w:t xml:space="preserve"> or more</w:t>
            </w:r>
            <w:r w:rsidRPr="005A7759">
              <w:rPr>
                <w:rFonts w:ascii="Arial" w:hAnsi="Arial" w:cs="Arial"/>
              </w:rPr>
              <w:t xml:space="preserve"> Business Days after the Response Time.</w:t>
            </w:r>
          </w:p>
        </w:tc>
        <w:tc>
          <w:tcPr>
            <w:tcW w:w="1704" w:type="dxa"/>
          </w:tcPr>
          <w:p w14:paraId="439299FF" w14:textId="67275B54" w:rsidR="005A7759" w:rsidRPr="005A7759" w:rsidRDefault="005A7759" w:rsidP="00F10893">
            <w:pPr>
              <w:jc w:val="both"/>
              <w:rPr>
                <w:rFonts w:ascii="Arial" w:hAnsi="Arial" w:cs="Arial"/>
              </w:rPr>
            </w:pPr>
            <w:r w:rsidRPr="005A7759">
              <w:rPr>
                <w:rFonts w:ascii="Arial" w:hAnsi="Arial" w:cs="Arial"/>
              </w:rPr>
              <w:t>20% of the unit price of an ESL application</w:t>
            </w:r>
            <w:r w:rsidR="0088024E">
              <w:rPr>
                <w:rFonts w:ascii="Arial" w:hAnsi="Arial" w:cs="Arial"/>
              </w:rPr>
              <w:t>.</w:t>
            </w:r>
          </w:p>
        </w:tc>
      </w:tr>
    </w:tbl>
    <w:p w14:paraId="63017F15" w14:textId="77777777" w:rsidR="00B8375F" w:rsidRPr="005A7759" w:rsidRDefault="00B8375F" w:rsidP="005A7759">
      <w:pPr>
        <w:spacing w:line="240" w:lineRule="auto"/>
        <w:rPr>
          <w:rFonts w:ascii="Arial" w:hAnsi="Arial" w:cs="Arial"/>
        </w:rPr>
      </w:pPr>
    </w:p>
    <w:sectPr w:rsidR="00B8375F" w:rsidRPr="005A77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88BC7" w14:textId="77777777" w:rsidR="003F00CA" w:rsidRDefault="003F00CA" w:rsidP="00D879DA">
      <w:pPr>
        <w:spacing w:after="0" w:line="240" w:lineRule="auto"/>
      </w:pPr>
      <w:r>
        <w:separator/>
      </w:r>
    </w:p>
  </w:endnote>
  <w:endnote w:type="continuationSeparator" w:id="0">
    <w:p w14:paraId="34786E03" w14:textId="77777777" w:rsidR="003F00CA" w:rsidRDefault="003F00CA" w:rsidP="00D87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CB06E" w14:textId="77777777" w:rsidR="001C20B0" w:rsidRDefault="001C20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A6FBF1" w14:textId="6956CD9E" w:rsidR="00D879DA" w:rsidRPr="00AF05F5" w:rsidRDefault="00D879DA" w:rsidP="00D879DA">
    <w:pPr>
      <w:pStyle w:val="Footer"/>
      <w:jc w:val="both"/>
      <w:rPr>
        <w:rFonts w:ascii="Arial" w:hAnsi="Arial" w:cs="Arial"/>
        <w:sz w:val="20"/>
        <w:szCs w:val="20"/>
      </w:rPr>
    </w:pPr>
    <w:r w:rsidRPr="00AF05F5">
      <w:rPr>
        <w:rFonts w:ascii="Arial" w:hAnsi="Arial" w:cs="Arial"/>
        <w:sz w:val="20"/>
        <w:szCs w:val="20"/>
      </w:rPr>
      <w:t>RFP 05/2024 - Provision of Health Risk Management services to adjudicate all Extended Sick Leave applications, including referrals for an independent/second opinion.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FE63F" w14:textId="77777777" w:rsidR="001C20B0" w:rsidRDefault="001C20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8ADE7B" w14:textId="77777777" w:rsidR="003F00CA" w:rsidRDefault="003F00CA" w:rsidP="00D879DA">
      <w:pPr>
        <w:spacing w:after="0" w:line="240" w:lineRule="auto"/>
      </w:pPr>
      <w:r>
        <w:separator/>
      </w:r>
    </w:p>
  </w:footnote>
  <w:footnote w:type="continuationSeparator" w:id="0">
    <w:p w14:paraId="25550BAE" w14:textId="77777777" w:rsidR="003F00CA" w:rsidRDefault="003F00CA" w:rsidP="00D87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F3A4D7" w14:textId="2AE6EEA3" w:rsidR="001C20B0" w:rsidRDefault="00000000">
    <w:pPr>
      <w:pStyle w:val="Header"/>
    </w:pPr>
    <w:r>
      <w:rPr>
        <w:noProof/>
      </w:rPr>
      <w:pict w14:anchorId="66717D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83735" o:spid="_x0000_s1026" type="#_x0000_t136" style="position:absolute;margin-left:0;margin-top:0;width:397.7pt;height:238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C5519" w14:textId="79B912B6" w:rsidR="00D879DA" w:rsidRPr="00D879DA" w:rsidRDefault="00000000" w:rsidP="00D879DA">
    <w:pPr>
      <w:pStyle w:val="Header"/>
      <w:jc w:val="right"/>
      <w:rPr>
        <w:rFonts w:ascii="Arial" w:hAnsi="Arial" w:cs="Arial"/>
        <w:b/>
        <w:bCs/>
      </w:rPr>
    </w:pPr>
    <w:r>
      <w:rPr>
        <w:noProof/>
      </w:rPr>
      <w:pict w14:anchorId="5145B18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83736" o:spid="_x0000_s1027" type="#_x0000_t136" style="position:absolute;left:0;text-align:left;margin-left:0;margin-top:0;width:397.7pt;height:238.6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 w:rsidR="00D879DA" w:rsidRPr="00D879DA">
      <w:rPr>
        <w:rFonts w:ascii="Arial" w:hAnsi="Arial" w:cs="Arial"/>
        <w:b/>
        <w:bCs/>
      </w:rPr>
      <w:t>Annexure 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7A5B2" w14:textId="4F6A1E0B" w:rsidR="001C20B0" w:rsidRDefault="00000000">
    <w:pPr>
      <w:pStyle w:val="Header"/>
    </w:pPr>
    <w:r>
      <w:rPr>
        <w:noProof/>
      </w:rPr>
      <w:pict w14:anchorId="432DCE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83734" o:spid="_x0000_s1025" type="#_x0000_t136" style="position:absolute;margin-left:0;margin-top:0;width:397.7pt;height:238.6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F56293"/>
    <w:multiLevelType w:val="hybridMultilevel"/>
    <w:tmpl w:val="C5FCE4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161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9DA"/>
    <w:rsid w:val="00036AC5"/>
    <w:rsid w:val="00053387"/>
    <w:rsid w:val="00056D9B"/>
    <w:rsid w:val="00085D1D"/>
    <w:rsid w:val="0013560F"/>
    <w:rsid w:val="001475BB"/>
    <w:rsid w:val="00162408"/>
    <w:rsid w:val="00163111"/>
    <w:rsid w:val="001969A7"/>
    <w:rsid w:val="001A2F74"/>
    <w:rsid w:val="001C1F4D"/>
    <w:rsid w:val="001C20B0"/>
    <w:rsid w:val="001C51CC"/>
    <w:rsid w:val="001D0ABB"/>
    <w:rsid w:val="001E5FC4"/>
    <w:rsid w:val="001F14A8"/>
    <w:rsid w:val="001F5816"/>
    <w:rsid w:val="00201698"/>
    <w:rsid w:val="00214821"/>
    <w:rsid w:val="00217797"/>
    <w:rsid w:val="002467B9"/>
    <w:rsid w:val="00283A59"/>
    <w:rsid w:val="003203EC"/>
    <w:rsid w:val="00322190"/>
    <w:rsid w:val="003616AD"/>
    <w:rsid w:val="003877FC"/>
    <w:rsid w:val="003F00CA"/>
    <w:rsid w:val="00407458"/>
    <w:rsid w:val="00412BF0"/>
    <w:rsid w:val="0042679A"/>
    <w:rsid w:val="004579AB"/>
    <w:rsid w:val="004763F7"/>
    <w:rsid w:val="00480021"/>
    <w:rsid w:val="00502D2C"/>
    <w:rsid w:val="00547934"/>
    <w:rsid w:val="00557DF9"/>
    <w:rsid w:val="00562443"/>
    <w:rsid w:val="005661A7"/>
    <w:rsid w:val="00592C22"/>
    <w:rsid w:val="005A7759"/>
    <w:rsid w:val="005B2F16"/>
    <w:rsid w:val="005E47C8"/>
    <w:rsid w:val="00630D21"/>
    <w:rsid w:val="00651CAA"/>
    <w:rsid w:val="0066184F"/>
    <w:rsid w:val="0068229C"/>
    <w:rsid w:val="006A1DF0"/>
    <w:rsid w:val="006A219D"/>
    <w:rsid w:val="006B3F0C"/>
    <w:rsid w:val="00732A59"/>
    <w:rsid w:val="00784567"/>
    <w:rsid w:val="00792750"/>
    <w:rsid w:val="007B131D"/>
    <w:rsid w:val="007C0FB9"/>
    <w:rsid w:val="0082083D"/>
    <w:rsid w:val="0088024E"/>
    <w:rsid w:val="00886C06"/>
    <w:rsid w:val="009151E5"/>
    <w:rsid w:val="00931C92"/>
    <w:rsid w:val="00966B43"/>
    <w:rsid w:val="009B05A4"/>
    <w:rsid w:val="009F02AF"/>
    <w:rsid w:val="009F7237"/>
    <w:rsid w:val="00A1133C"/>
    <w:rsid w:val="00A246EF"/>
    <w:rsid w:val="00A637B2"/>
    <w:rsid w:val="00A67F4A"/>
    <w:rsid w:val="00AF05F5"/>
    <w:rsid w:val="00B1079A"/>
    <w:rsid w:val="00B1752B"/>
    <w:rsid w:val="00B8375F"/>
    <w:rsid w:val="00BB251B"/>
    <w:rsid w:val="00BC40A4"/>
    <w:rsid w:val="00C200FA"/>
    <w:rsid w:val="00C726E7"/>
    <w:rsid w:val="00C76621"/>
    <w:rsid w:val="00C94990"/>
    <w:rsid w:val="00CB7D4F"/>
    <w:rsid w:val="00CE7C5F"/>
    <w:rsid w:val="00D21699"/>
    <w:rsid w:val="00D25769"/>
    <w:rsid w:val="00D33925"/>
    <w:rsid w:val="00D418CC"/>
    <w:rsid w:val="00D4443F"/>
    <w:rsid w:val="00D87246"/>
    <w:rsid w:val="00D879DA"/>
    <w:rsid w:val="00D95502"/>
    <w:rsid w:val="00DB343B"/>
    <w:rsid w:val="00DD36D4"/>
    <w:rsid w:val="00DE49F7"/>
    <w:rsid w:val="00DE77BE"/>
    <w:rsid w:val="00DF5D78"/>
    <w:rsid w:val="00E51E04"/>
    <w:rsid w:val="00EC1274"/>
    <w:rsid w:val="00F10893"/>
    <w:rsid w:val="00F166D4"/>
    <w:rsid w:val="00F607C3"/>
    <w:rsid w:val="00F9147A"/>
    <w:rsid w:val="00F92DD5"/>
    <w:rsid w:val="00FE1229"/>
    <w:rsid w:val="00FE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70F633"/>
  <w15:chartTrackingRefBased/>
  <w15:docId w15:val="{B4166A0F-323B-49A3-9506-478F81516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79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879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79DA"/>
  </w:style>
  <w:style w:type="paragraph" w:styleId="Footer">
    <w:name w:val="footer"/>
    <w:basedOn w:val="Normal"/>
    <w:link w:val="FooterChar"/>
    <w:uiPriority w:val="99"/>
    <w:unhideWhenUsed/>
    <w:rsid w:val="00D879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79DA"/>
  </w:style>
  <w:style w:type="paragraph" w:styleId="ListParagraph">
    <w:name w:val="List Paragraph"/>
    <w:basedOn w:val="Normal"/>
    <w:uiPriority w:val="34"/>
    <w:qFormat/>
    <w:rsid w:val="00D879D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02D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02D2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2D2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2D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2D2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151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1034</Words>
  <Characters>5897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Lalashé Lundall</dc:creator>
  <cp:keywords/>
  <dc:description/>
  <cp:lastModifiedBy>Lalashé Lundall</cp:lastModifiedBy>
  <cp:revision>3</cp:revision>
  <dcterms:created xsi:type="dcterms:W3CDTF">2024-07-09T15:08:00Z</dcterms:created>
  <dcterms:modified xsi:type="dcterms:W3CDTF">2024-07-24T07:39:00Z</dcterms:modified>
</cp:coreProperties>
</file>